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6F60">
      <w:pPr>
        <w:pStyle w:val="8"/>
        <w:spacing w:line="280" w:lineRule="auto"/>
        <w:ind w:left="0" w:firstLine="0"/>
        <w:jc w:val="center"/>
      </w:pPr>
    </w:p>
    <w:p w14:paraId="158BDA8C">
      <w:pPr>
        <w:pStyle w:val="8"/>
        <w:spacing w:line="280" w:lineRule="auto"/>
        <w:ind w:left="0" w:firstLine="0"/>
        <w:jc w:val="center"/>
      </w:pPr>
      <w:r>
        <w:t>Faaliyet</w:t>
      </w:r>
      <w:r>
        <w:rPr>
          <w:spacing w:val="-13"/>
        </w:rPr>
        <w:t xml:space="preserve"> </w:t>
      </w:r>
      <w:r>
        <w:t>Değerlendirme</w:t>
      </w:r>
      <w:r>
        <w:rPr>
          <w:spacing w:val="-13"/>
        </w:rPr>
        <w:t xml:space="preserve"> </w:t>
      </w:r>
      <w:r>
        <w:t>Raporu: SEKTÖR BULUŞMALARI 1 SAĞLIK</w:t>
      </w:r>
    </w:p>
    <w:p w14:paraId="20917EF9">
      <w:pPr>
        <w:pStyle w:val="8"/>
        <w:spacing w:line="280" w:lineRule="auto"/>
        <w:ind w:left="0" w:firstLine="0"/>
        <w:jc w:val="center"/>
      </w:pPr>
      <w:r>
        <w:t xml:space="preserve"> UZMAN GÖZÜYLE SAĞLIK OLANAKLARININ DEĞERLENDİRİLMESİ</w:t>
      </w:r>
    </w:p>
    <w:p w14:paraId="79DA9EB3">
      <w:pPr>
        <w:pStyle w:val="8"/>
        <w:spacing w:line="280" w:lineRule="auto"/>
        <w:ind w:left="0" w:firstLine="0"/>
        <w:jc w:val="center"/>
      </w:pPr>
      <w:r>
        <w:t>KARİYER MERKEZİ (MARKAM)</w:t>
      </w:r>
    </w:p>
    <w:p w14:paraId="19F9FF3A">
      <w:pPr>
        <w:pStyle w:val="8"/>
        <w:spacing w:line="280" w:lineRule="auto"/>
        <w:ind w:left="0" w:firstLine="0"/>
        <w:jc w:val="center"/>
      </w:pPr>
      <w:r>
        <w:t xml:space="preserve"> 26 Şubat 2026</w:t>
      </w:r>
    </w:p>
    <w:p w14:paraId="756EDF87">
      <w:pPr>
        <w:pStyle w:val="8"/>
        <w:spacing w:line="280" w:lineRule="auto"/>
        <w:ind w:left="0" w:firstLine="0"/>
        <w:jc w:val="center"/>
      </w:pPr>
    </w:p>
    <w:p w14:paraId="6A6719B1">
      <w:pPr>
        <w:pStyle w:val="5"/>
        <w:spacing w:before="167" w:line="290" w:lineRule="auto"/>
        <w:ind w:left="345" w:right="343" w:firstLine="375"/>
        <w:rPr>
          <w:rFonts w:ascii="Arial" w:hAnsi="Arial" w:cs="Arial"/>
        </w:rPr>
      </w:pPr>
      <w:r>
        <w:rPr>
          <w:rFonts w:ascii="Arial" w:hAnsi="Arial" w:cs="Arial"/>
        </w:rPr>
        <w:t>Bu rapor, Marmara Üniversitesi Kariyer Merkezi koordinatörlüğünde Acıbadem Sağlık Grubu, Centurıon Pharma ve Memorial Sağlık Grubu iş birliğiyle gerçekleştirilen 'Sektör Buluşmaları 1 Sağlık – Uzman Gözüyle Sağlık Olanaklarının Değerlendirilmesi’ programının sonuçlarını analiz etmek amacıyla hazırlanmıştır.</w:t>
      </w:r>
    </w:p>
    <w:p w14:paraId="786F4A50">
      <w:pPr>
        <w:pStyle w:val="5"/>
        <w:spacing w:before="49"/>
        <w:rPr>
          <w:rFonts w:ascii="Arial" w:hAnsi="Arial" w:cs="Arial"/>
        </w:rPr>
      </w:pPr>
    </w:p>
    <w:p w14:paraId="32D8EAF1">
      <w:pPr>
        <w:pStyle w:val="5"/>
        <w:spacing w:before="162"/>
        <w:ind w:left="345"/>
        <w:rPr>
          <w:rFonts w:ascii="Arial" w:hAnsi="Arial" w:cs="Arial"/>
        </w:rPr>
      </w:pPr>
      <w:r>
        <w:rPr>
          <w:rFonts w:ascii="Arial" w:hAnsi="Arial" w:cs="Arial"/>
        </w:rPr>
        <w:t>Marmara Üniversitesi öğrencilerinin sağlık sektörünü daha yakından tanımalarını sağlamak, sektör temsilcileri ile doğrudan iletişim kurmalarına olanak tanımak ve kariyer planlamalarına katkı sunmak amacıyla gerçekleştirilen etkinlikte alanında uzman konuşmacılar öğrencilerle bir araya gelmiştir.</w:t>
      </w:r>
    </w:p>
    <w:p w14:paraId="2EFC3BE9">
      <w:pPr>
        <w:pStyle w:val="5"/>
        <w:spacing w:before="162"/>
        <w:ind w:left="345"/>
        <w:rPr>
          <w:rFonts w:ascii="Arial" w:hAnsi="Arial" w:cs="Arial"/>
        </w:rPr>
      </w:pPr>
    </w:p>
    <w:p w14:paraId="15F5AA32">
      <w:pPr>
        <w:pStyle w:val="5"/>
        <w:spacing w:before="162"/>
        <w:ind w:left="345"/>
        <w:rPr>
          <w:rFonts w:ascii="Arial" w:hAnsi="Arial" w:cs="Arial"/>
        </w:rPr>
      </w:pPr>
      <w:r>
        <w:rPr>
          <w:rFonts w:ascii="Arial" w:hAnsi="Arial" w:cs="Arial"/>
        </w:rPr>
        <w:t>Etkinlik kapsamında;</w:t>
      </w:r>
    </w:p>
    <w:p w14:paraId="473B35E4">
      <w:pPr>
        <w:pStyle w:val="5"/>
        <w:numPr>
          <w:ilvl w:val="0"/>
          <w:numId w:val="1"/>
        </w:numPr>
        <w:tabs>
          <w:tab w:val="left" w:pos="1065"/>
          <w:tab w:val="clear" w:pos="720"/>
        </w:tabs>
        <w:spacing w:before="162"/>
        <w:ind w:left="1065"/>
        <w:rPr>
          <w:rFonts w:ascii="Arial" w:hAnsi="Arial" w:cs="Arial"/>
        </w:rPr>
      </w:pPr>
      <w:r>
        <w:rPr>
          <w:rFonts w:ascii="Arial" w:hAnsi="Arial" w:cs="Arial"/>
          <w:b/>
        </w:rPr>
        <w:t>Memorial Sağlık Grubu</w:t>
      </w:r>
      <w:r>
        <w:rPr>
          <w:rFonts w:ascii="Arial" w:hAnsi="Arial" w:cs="Arial"/>
        </w:rPr>
        <w:t xml:space="preserve">’ndan </w:t>
      </w:r>
      <w:r>
        <w:rPr>
          <w:rFonts w:ascii="Arial" w:hAnsi="Arial" w:cs="Arial"/>
          <w:b/>
          <w:bCs/>
        </w:rPr>
        <w:t>Prof. Dr. Ümit Dinçer</w:t>
      </w:r>
    </w:p>
    <w:p w14:paraId="317BD030">
      <w:pPr>
        <w:pStyle w:val="5"/>
        <w:numPr>
          <w:ilvl w:val="0"/>
          <w:numId w:val="1"/>
        </w:numPr>
        <w:tabs>
          <w:tab w:val="left" w:pos="1065"/>
          <w:tab w:val="clear" w:pos="720"/>
        </w:tabs>
        <w:spacing w:before="162"/>
        <w:ind w:left="1065"/>
        <w:rPr>
          <w:rFonts w:ascii="Arial" w:hAnsi="Arial" w:cs="Arial"/>
        </w:rPr>
      </w:pPr>
      <w:r>
        <w:rPr>
          <w:rFonts w:ascii="Arial" w:hAnsi="Arial" w:cs="Arial"/>
          <w:b/>
        </w:rPr>
        <w:t>Centurion Pharma</w:t>
      </w:r>
      <w:r>
        <w:rPr>
          <w:rFonts w:ascii="Arial" w:hAnsi="Arial" w:cs="Arial"/>
        </w:rPr>
        <w:t xml:space="preserve"> Genel Müdürü </w:t>
      </w:r>
      <w:r>
        <w:rPr>
          <w:rFonts w:ascii="Arial" w:hAnsi="Arial" w:cs="Arial"/>
          <w:b/>
          <w:bCs/>
        </w:rPr>
        <w:t>Dr. Akın Aksekili</w:t>
      </w:r>
    </w:p>
    <w:p w14:paraId="781A460C">
      <w:pPr>
        <w:pStyle w:val="5"/>
        <w:numPr>
          <w:ilvl w:val="0"/>
          <w:numId w:val="1"/>
        </w:numPr>
        <w:tabs>
          <w:tab w:val="left" w:pos="1065"/>
          <w:tab w:val="clear" w:pos="720"/>
        </w:tabs>
        <w:spacing w:before="162"/>
        <w:ind w:left="1065"/>
        <w:rPr>
          <w:rFonts w:ascii="Arial" w:hAnsi="Arial" w:cs="Arial"/>
        </w:rPr>
      </w:pPr>
      <w:r>
        <w:rPr>
          <w:rFonts w:ascii="Arial" w:hAnsi="Arial" w:cs="Arial"/>
          <w:b/>
        </w:rPr>
        <w:t>Acıbadem Sağlık Grubu</w:t>
      </w:r>
      <w:r>
        <w:rPr>
          <w:rFonts w:ascii="Arial" w:hAnsi="Arial" w:cs="Arial"/>
        </w:rPr>
        <w:t xml:space="preserve"> Hemşirelik Hizmetleri Müdürü </w:t>
      </w:r>
      <w:r>
        <w:rPr>
          <w:rFonts w:ascii="Arial" w:hAnsi="Arial" w:cs="Arial"/>
          <w:b/>
          <w:bCs/>
        </w:rPr>
        <w:t>Gökçe Bahtiyar</w:t>
      </w:r>
      <w:r>
        <w:rPr>
          <w:rFonts w:ascii="Arial" w:hAnsi="Arial" w:cs="Arial"/>
        </w:rPr>
        <w:t xml:space="preserve"> öğrencilerle deneyimlerini paylaşmış ve sağlık sektöründeki kariyer fırsatlarını değerlendirmiştir.</w:t>
      </w:r>
    </w:p>
    <w:p w14:paraId="4E633F0A">
      <w:pPr>
        <w:pStyle w:val="5"/>
        <w:spacing w:before="162"/>
        <w:rPr>
          <w:rFonts w:ascii="Arial" w:hAnsi="Arial" w:cs="Arial"/>
        </w:rPr>
      </w:pPr>
    </w:p>
    <w:p w14:paraId="3F49F130">
      <w:pPr>
        <w:pStyle w:val="5"/>
        <w:spacing w:before="162"/>
        <w:ind w:left="345" w:firstLine="360"/>
        <w:rPr>
          <w:rFonts w:ascii="Arial" w:hAnsi="Arial" w:cs="Arial"/>
        </w:rPr>
      </w:pPr>
      <w:r>
        <w:rPr>
          <w:rFonts w:ascii="Arial" w:hAnsi="Arial" w:cs="Arial"/>
        </w:rPr>
        <w:t xml:space="preserve">Etkinlik, </w:t>
      </w:r>
      <w:r>
        <w:rPr>
          <w:rFonts w:ascii="Arial" w:hAnsi="Arial" w:cs="Arial"/>
          <w:b/>
          <w:bCs/>
        </w:rPr>
        <w:t>26 Şubat 2026 tarihinde Marmara Üniversitesi Sağlık Bilimleri Fakültesi Konferans Salonu’nda</w:t>
      </w:r>
      <w:r>
        <w:rPr>
          <w:rFonts w:ascii="Arial" w:hAnsi="Arial" w:cs="Arial"/>
        </w:rPr>
        <w:t xml:space="preserve"> gerçekleştirilmiştir.</w:t>
      </w:r>
    </w:p>
    <w:p w14:paraId="67406B9D">
      <w:pPr>
        <w:pStyle w:val="5"/>
        <w:spacing w:before="162"/>
        <w:ind w:left="345" w:firstLine="360"/>
        <w:rPr>
          <w:rFonts w:ascii="Arial" w:hAnsi="Arial" w:cs="Arial"/>
        </w:rPr>
      </w:pPr>
    </w:p>
    <w:p w14:paraId="1B00301B">
      <w:pPr>
        <w:pStyle w:val="5"/>
        <w:spacing w:before="162"/>
        <w:ind w:left="345" w:firstLine="360"/>
        <w:rPr>
          <w:rFonts w:ascii="Arial" w:hAnsi="Arial" w:cs="Arial"/>
          <w:b/>
          <w:bCs/>
        </w:rPr>
      </w:pPr>
      <w:r>
        <w:rPr>
          <w:rFonts w:ascii="Arial" w:hAnsi="Arial" w:cs="Arial"/>
        </w:rPr>
        <w:t xml:space="preserve">Etkinliğe </w:t>
      </w:r>
      <w:r>
        <w:rPr>
          <w:rFonts w:ascii="Arial" w:hAnsi="Arial" w:cs="Arial"/>
          <w:b/>
          <w:bCs/>
        </w:rPr>
        <w:t>196 kişi başvurmuş</w:t>
      </w:r>
      <w:r>
        <w:rPr>
          <w:rFonts w:ascii="Arial" w:hAnsi="Arial" w:cs="Arial"/>
        </w:rPr>
        <w:t xml:space="preserve">, etkinlik sonrası yapılan değerlendirme anketine ise </w:t>
      </w:r>
      <w:r>
        <w:rPr>
          <w:rFonts w:hint="default" w:ascii="Arial" w:hAnsi="Arial" w:cs="Arial"/>
          <w:b/>
          <w:bCs/>
          <w:lang w:val="tr-TR"/>
        </w:rPr>
        <w:t>82</w:t>
      </w:r>
      <w:r>
        <w:rPr>
          <w:rFonts w:ascii="Arial" w:hAnsi="Arial" w:cs="Arial"/>
          <w:b/>
          <w:bCs/>
        </w:rPr>
        <w:t xml:space="preserve"> </w:t>
      </w:r>
      <w:r>
        <w:rPr>
          <w:rFonts w:ascii="Arial" w:hAnsi="Arial" w:cs="Arial"/>
          <w:b/>
          <w:bCs/>
        </w:rPr>
        <w:t>kişi katılım sağlamıştır.</w:t>
      </w:r>
      <w:bookmarkStart w:id="0" w:name="_GoBack"/>
      <w:bookmarkEnd w:id="0"/>
    </w:p>
    <w:p w14:paraId="4F98729E">
      <w:pPr>
        <w:pStyle w:val="5"/>
        <w:spacing w:before="162"/>
        <w:ind w:left="345" w:firstLine="360"/>
        <w:rPr>
          <w:rFonts w:ascii="Arial" w:hAnsi="Arial" w:cs="Arial"/>
        </w:rPr>
      </w:pPr>
    </w:p>
    <w:p w14:paraId="2D081D2F">
      <w:pPr>
        <w:pStyle w:val="5"/>
        <w:spacing w:before="162"/>
        <w:ind w:left="345" w:firstLine="288"/>
        <w:rPr>
          <w:rFonts w:ascii="Arial" w:hAnsi="Arial" w:cs="Arial"/>
        </w:rPr>
      </w:pPr>
      <w:r>
        <w:rPr>
          <w:rFonts w:ascii="Arial" w:hAnsi="Arial" w:cs="Arial"/>
        </w:rPr>
        <w:t>Analizler, katılımcı öğrencilerin doldurduğu geri bildirim anketlerinden elde edilen veriler doğrultusunda hazırlanmıştır.</w:t>
      </w:r>
    </w:p>
    <w:p w14:paraId="1C8AB564">
      <w:pPr>
        <w:pStyle w:val="5"/>
        <w:spacing w:before="162"/>
        <w:ind w:left="345" w:firstLine="288"/>
        <w:rPr>
          <w:rFonts w:ascii="Arial" w:hAnsi="Arial" w:cs="Arial"/>
        </w:rPr>
      </w:pPr>
    </w:p>
    <w:p w14:paraId="19D50107">
      <w:pPr>
        <w:pStyle w:val="5"/>
        <w:spacing w:before="162"/>
        <w:ind w:left="345" w:firstLine="288"/>
        <w:rPr>
          <w:rFonts w:ascii="Arial" w:hAnsi="Arial" w:cs="Arial"/>
        </w:rPr>
      </w:pPr>
    </w:p>
    <w:p w14:paraId="4BE2F364">
      <w:pPr>
        <w:pStyle w:val="5"/>
        <w:spacing w:before="162"/>
        <w:ind w:left="345" w:firstLine="288"/>
        <w:rPr>
          <w:rFonts w:ascii="Arial" w:hAnsi="Arial" w:cs="Arial"/>
        </w:rPr>
      </w:pPr>
    </w:p>
    <w:p w14:paraId="5F347618">
      <w:pPr>
        <w:pStyle w:val="5"/>
        <w:spacing w:before="162"/>
        <w:ind w:left="345" w:firstLine="288"/>
        <w:rPr>
          <w:rFonts w:ascii="Arial" w:hAnsi="Arial" w:cs="Arial"/>
        </w:rPr>
      </w:pPr>
    </w:p>
    <w:p w14:paraId="49280B24">
      <w:pPr>
        <w:pStyle w:val="5"/>
        <w:spacing w:before="162"/>
        <w:ind w:left="345" w:firstLine="288"/>
        <w:rPr>
          <w:rFonts w:ascii="Arial" w:hAnsi="Arial" w:cs="Arial"/>
        </w:rPr>
      </w:pPr>
    </w:p>
    <w:p w14:paraId="23595FE1">
      <w:pPr>
        <w:pStyle w:val="5"/>
        <w:spacing w:before="162"/>
        <w:ind w:left="345" w:firstLine="288"/>
        <w:rPr>
          <w:rFonts w:ascii="Arial" w:hAnsi="Arial" w:cs="Arial"/>
        </w:rPr>
      </w:pPr>
    </w:p>
    <w:p w14:paraId="4B78D590">
      <w:pPr>
        <w:pStyle w:val="5"/>
        <w:spacing w:before="162"/>
        <w:ind w:left="345" w:firstLine="288"/>
        <w:rPr>
          <w:rFonts w:ascii="Arial" w:hAnsi="Arial" w:cs="Arial"/>
        </w:rPr>
      </w:pPr>
    </w:p>
    <w:p w14:paraId="6B52608E">
      <w:pPr>
        <w:pStyle w:val="5"/>
        <w:spacing w:before="162"/>
        <w:ind w:left="345" w:firstLine="288"/>
        <w:rPr>
          <w:rFonts w:ascii="Arial" w:hAnsi="Arial" w:cs="Arial"/>
        </w:rPr>
      </w:pPr>
    </w:p>
    <w:p w14:paraId="0E603B72">
      <w:pPr>
        <w:pStyle w:val="5"/>
        <w:spacing w:before="162"/>
        <w:ind w:left="345" w:firstLine="288"/>
        <w:rPr>
          <w:rFonts w:ascii="Arial" w:hAnsi="Arial" w:cs="Arial"/>
        </w:rPr>
      </w:pPr>
    </w:p>
    <w:p w14:paraId="6B68ABEF">
      <w:pPr>
        <w:pStyle w:val="5"/>
        <w:spacing w:before="162"/>
        <w:ind w:left="345" w:firstLine="288"/>
        <w:rPr>
          <w:rFonts w:ascii="Arial" w:hAnsi="Arial" w:cs="Arial"/>
        </w:rPr>
      </w:pPr>
    </w:p>
    <w:p w14:paraId="36DACE79">
      <w:pPr>
        <w:pStyle w:val="5"/>
        <w:spacing w:before="162"/>
        <w:ind w:left="345" w:firstLine="288"/>
        <w:rPr>
          <w:rFonts w:ascii="Arial" w:hAnsi="Arial" w:cs="Arial"/>
        </w:rPr>
      </w:pPr>
    </w:p>
    <w:p w14:paraId="632E38AB">
      <w:pPr>
        <w:pStyle w:val="5"/>
        <w:spacing w:before="162"/>
        <w:ind w:left="345" w:firstLine="288"/>
        <w:rPr>
          <w:rFonts w:ascii="Arial" w:hAnsi="Arial" w:cs="Arial"/>
        </w:rPr>
      </w:pPr>
    </w:p>
    <w:p w14:paraId="00382898">
      <w:pPr>
        <w:pStyle w:val="5"/>
        <w:spacing w:before="162"/>
        <w:ind w:left="345" w:firstLine="288"/>
        <w:rPr>
          <w:rFonts w:ascii="Arial" w:hAnsi="Arial" w:cs="Arial"/>
        </w:rPr>
      </w:pPr>
    </w:p>
    <w:p w14:paraId="37316A16">
      <w:pPr>
        <w:pStyle w:val="5"/>
        <w:spacing w:before="162"/>
        <w:ind w:left="345" w:firstLine="288"/>
        <w:rPr>
          <w:rFonts w:ascii="Arial" w:hAnsi="Arial" w:cs="Arial"/>
        </w:rPr>
      </w:pPr>
    </w:p>
    <w:p w14:paraId="057EDB76">
      <w:pPr>
        <w:pStyle w:val="5"/>
        <w:spacing w:before="162"/>
        <w:ind w:left="345" w:firstLine="288"/>
        <w:rPr>
          <w:rFonts w:ascii="Arial" w:hAnsi="Arial" w:cs="Arial"/>
        </w:rPr>
      </w:pPr>
    </w:p>
    <w:p w14:paraId="7A4913CE">
      <w:pPr>
        <w:pStyle w:val="5"/>
        <w:spacing w:before="162"/>
      </w:pPr>
    </w:p>
    <w:p w14:paraId="57C62D1E">
      <w:pPr>
        <w:pStyle w:val="5"/>
        <w:spacing w:before="162"/>
      </w:pPr>
    </w:p>
    <w:p w14:paraId="39F4387A">
      <w:pPr>
        <w:pStyle w:val="10"/>
        <w:numPr>
          <w:ilvl w:val="0"/>
          <w:numId w:val="2"/>
        </w:numPr>
        <w:tabs>
          <w:tab w:val="left" w:pos="633"/>
        </w:tabs>
        <w:ind w:left="835" w:hanging="288"/>
        <w:jc w:val="left"/>
        <w:rPr>
          <w:b/>
          <w:sz w:val="26"/>
        </w:rPr>
      </w:pPr>
      <w:r>
        <w:rPr>
          <w:b/>
          <w:sz w:val="26"/>
        </w:rPr>
        <w:t>Etkinliğin</w:t>
      </w:r>
      <w:r>
        <w:rPr>
          <w:b/>
          <w:spacing w:val="-7"/>
          <w:sz w:val="26"/>
        </w:rPr>
        <w:t xml:space="preserve"> </w:t>
      </w:r>
      <w:r>
        <w:rPr>
          <w:b/>
          <w:sz w:val="26"/>
        </w:rPr>
        <w:t>Genel</w:t>
      </w:r>
      <w:r>
        <w:rPr>
          <w:b/>
          <w:spacing w:val="-5"/>
          <w:sz w:val="26"/>
        </w:rPr>
        <w:t xml:space="preserve"> </w:t>
      </w:r>
      <w:r>
        <w:rPr>
          <w:b/>
          <w:sz w:val="26"/>
        </w:rPr>
        <w:t>Memnuniyet</w:t>
      </w:r>
      <w:r>
        <w:rPr>
          <w:b/>
          <w:spacing w:val="-5"/>
          <w:sz w:val="26"/>
        </w:rPr>
        <w:t xml:space="preserve"> </w:t>
      </w:r>
      <w:r>
        <w:rPr>
          <w:b/>
          <w:spacing w:val="-2"/>
          <w:sz w:val="26"/>
        </w:rPr>
        <w:t>Düzeyi</w:t>
      </w:r>
    </w:p>
    <w:p w14:paraId="1784390B">
      <w:pPr>
        <w:pStyle w:val="5"/>
        <w:ind w:left="202"/>
        <w:rPr>
          <w:rFonts w:ascii="Arial"/>
          <w:b/>
          <w:sz w:val="20"/>
        </w:rPr>
      </w:pPr>
    </w:p>
    <w:p w14:paraId="45293E37">
      <w:pPr>
        <w:pStyle w:val="5"/>
        <w:spacing w:before="215"/>
        <w:ind w:left="202"/>
        <w:jc w:val="center"/>
        <w:rPr>
          <w:rFonts w:ascii="Arial"/>
          <w:b/>
          <w:sz w:val="20"/>
        </w:rPr>
      </w:pPr>
      <w:r>
        <w:rPr>
          <w:rFonts w:ascii="Arial"/>
          <w:b/>
          <w:sz w:val="20"/>
          <w:lang w:eastAsia="tr-TR"/>
        </w:rPr>
        <w:drawing>
          <wp:inline distT="0" distB="0" distL="0" distR="0">
            <wp:extent cx="2706370" cy="2858770"/>
            <wp:effectExtent l="0" t="0" r="762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706400" cy="2858788"/>
                    </a:xfrm>
                    <a:prstGeom prst="rect">
                      <a:avLst/>
                    </a:prstGeom>
                  </pic:spPr>
                </pic:pic>
              </a:graphicData>
            </a:graphic>
          </wp:inline>
        </w:drawing>
      </w:r>
    </w:p>
    <w:p w14:paraId="3ED198CE">
      <w:pPr>
        <w:pStyle w:val="5"/>
        <w:ind w:left="202"/>
        <w:rPr>
          <w:rFonts w:ascii="Arial"/>
          <w:b/>
        </w:rPr>
      </w:pPr>
    </w:p>
    <w:p w14:paraId="566CAFEC">
      <w:pPr>
        <w:pStyle w:val="5"/>
        <w:spacing w:before="179"/>
        <w:ind w:left="202"/>
        <w:rPr>
          <w:rFonts w:ascii="Arial"/>
          <w:b/>
        </w:rPr>
      </w:pPr>
    </w:p>
    <w:p w14:paraId="592523DB">
      <w:pPr>
        <w:pStyle w:val="5"/>
        <w:spacing w:line="288" w:lineRule="auto"/>
        <w:ind w:left="648" w:right="243"/>
        <w:sectPr>
          <w:type w:val="continuous"/>
          <w:pgSz w:w="11910" w:h="16850"/>
          <w:pgMar w:top="140" w:right="283" w:bottom="280" w:left="283" w:header="708" w:footer="708" w:gutter="0"/>
          <w:cols w:space="708" w:num="1"/>
        </w:sectPr>
      </w:pPr>
      <w:r>
        <w:rPr>
          <w:rFonts w:ascii="Arial" w:hAnsi="Arial"/>
          <w:b/>
        </w:rPr>
        <w:t xml:space="preserve">Değerlendirme: </w:t>
      </w:r>
      <w:r>
        <w:t xml:space="preserve">Katılımcıların büyük bir çoğunluğu etkinliğe </w:t>
      </w:r>
      <w:r>
        <w:rPr>
          <w:rStyle w:val="7"/>
        </w:rPr>
        <w:t>5 üzerinden ortalama 4.29 puan</w:t>
      </w:r>
      <w:r>
        <w:t xml:space="preserve"> vermiştir. Grafiklerde 4 ve 5 puanın ağırlıkta olması, Marmara Üniversitesi Kariyer Merkezi tarafından düzenlenen ‘Sektör Buluşmaları 1 Sağlık Uzman Gözüyle Sağlık Olanaklarının Değerlendirilmesi’ etkinliğinin öğrenciler tarafından yüksek memnuniyetle karşılandığını göstermektedir.</w:t>
      </w:r>
    </w:p>
    <w:p w14:paraId="1D03B4AF">
      <w:pPr>
        <w:pStyle w:val="2"/>
        <w:numPr>
          <w:ilvl w:val="0"/>
          <w:numId w:val="2"/>
        </w:numPr>
        <w:tabs>
          <w:tab w:val="left" w:pos="611"/>
        </w:tabs>
        <w:spacing w:before="65"/>
        <w:ind w:left="813" w:hanging="266"/>
        <w:jc w:val="left"/>
      </w:pPr>
      <w:r>
        <w:t xml:space="preserve">İçerik Beklentileri Karşıladı </w:t>
      </w:r>
      <w:r>
        <w:rPr>
          <w:spacing w:val="-5"/>
        </w:rPr>
        <w:t>mı?</w:t>
      </w:r>
    </w:p>
    <w:p w14:paraId="747BD781">
      <w:pPr>
        <w:pStyle w:val="5"/>
        <w:ind w:left="202"/>
        <w:rPr>
          <w:rFonts w:ascii="Arial"/>
          <w:b/>
          <w:sz w:val="20"/>
        </w:rPr>
      </w:pPr>
    </w:p>
    <w:p w14:paraId="406D841B">
      <w:pPr>
        <w:pStyle w:val="5"/>
        <w:ind w:left="202"/>
        <w:jc w:val="center"/>
        <w:rPr>
          <w:rFonts w:ascii="Arial"/>
          <w:b/>
          <w:sz w:val="20"/>
        </w:rPr>
      </w:pPr>
      <w:r>
        <w:rPr>
          <w:rFonts w:ascii="Arial"/>
          <w:b/>
          <w:sz w:val="20"/>
          <w:lang w:eastAsia="tr-TR"/>
        </w:rPr>
        <w:drawing>
          <wp:inline distT="0" distB="0" distL="0" distR="0">
            <wp:extent cx="2950210" cy="2870835"/>
            <wp:effectExtent l="0" t="0" r="2540" b="571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50220" cy="2870979"/>
                    </a:xfrm>
                    <a:prstGeom prst="rect">
                      <a:avLst/>
                    </a:prstGeom>
                  </pic:spPr>
                </pic:pic>
              </a:graphicData>
            </a:graphic>
          </wp:inline>
        </w:drawing>
      </w:r>
    </w:p>
    <w:p w14:paraId="4D30FD43">
      <w:pPr>
        <w:pStyle w:val="5"/>
        <w:spacing w:before="6"/>
        <w:ind w:left="202"/>
        <w:rPr>
          <w:rFonts w:ascii="Arial"/>
          <w:b/>
          <w:sz w:val="20"/>
        </w:rPr>
      </w:pPr>
    </w:p>
    <w:p w14:paraId="3FF88F55">
      <w:pPr>
        <w:pStyle w:val="5"/>
        <w:ind w:left="202"/>
        <w:rPr>
          <w:rFonts w:ascii="Arial"/>
          <w:b/>
          <w:sz w:val="24"/>
        </w:rPr>
      </w:pPr>
    </w:p>
    <w:p w14:paraId="13E98D0A">
      <w:pPr>
        <w:pStyle w:val="5"/>
        <w:spacing w:before="131"/>
        <w:ind w:left="202"/>
        <w:rPr>
          <w:rFonts w:ascii="Arial"/>
          <w:b/>
          <w:sz w:val="24"/>
        </w:rPr>
      </w:pPr>
    </w:p>
    <w:p w14:paraId="7AD9476A">
      <w:pPr>
        <w:pStyle w:val="5"/>
        <w:ind w:left="547"/>
      </w:pPr>
      <w:r>
        <w:rPr>
          <w:rFonts w:ascii="Arial" w:hAnsi="Arial"/>
          <w:b/>
        </w:rPr>
        <w:t>Değerlendirme:</w:t>
      </w:r>
      <w:r>
        <w:rPr>
          <w:rFonts w:ascii="Arial" w:hAnsi="Arial"/>
          <w:b/>
          <w:spacing w:val="35"/>
        </w:rPr>
        <w:t xml:space="preserve"> </w:t>
      </w:r>
      <w:r>
        <w:t>Katılımcıların değerlendirmeleri sonucunda içerik beklentilerinin karşılanma düzeyi 5 üzerinden ortalama 3.82 puan olarak ölçülmüştür. Bu sonuç, etkinlik kapsamında paylaşılan bilgilerin öğrencilerin kariyer beklentileriyle büyük ölçüde örtüştüğünü göstermektedir.</w:t>
      </w:r>
    </w:p>
    <w:p w14:paraId="62C74E31">
      <w:pPr>
        <w:pStyle w:val="5"/>
        <w:ind w:left="547"/>
      </w:pPr>
    </w:p>
    <w:p w14:paraId="08F0CA71">
      <w:pPr>
        <w:pStyle w:val="5"/>
        <w:ind w:left="547"/>
      </w:pPr>
    </w:p>
    <w:p w14:paraId="07F83415">
      <w:pPr>
        <w:pStyle w:val="5"/>
        <w:ind w:left="547"/>
      </w:pPr>
    </w:p>
    <w:p w14:paraId="49413434">
      <w:pPr>
        <w:pStyle w:val="5"/>
        <w:ind w:left="547"/>
      </w:pPr>
    </w:p>
    <w:p w14:paraId="5279DBB3">
      <w:pPr>
        <w:pStyle w:val="5"/>
        <w:ind w:left="547"/>
      </w:pPr>
    </w:p>
    <w:p w14:paraId="620E66AC">
      <w:pPr>
        <w:pStyle w:val="2"/>
        <w:numPr>
          <w:ilvl w:val="0"/>
          <w:numId w:val="2"/>
        </w:numPr>
        <w:tabs>
          <w:tab w:val="left" w:pos="611"/>
        </w:tabs>
        <w:ind w:left="813" w:hanging="266"/>
        <w:jc w:val="left"/>
      </w:pPr>
      <w:r>
        <w:t xml:space="preserve">Etkinliğin Konu Başlığı İlgi </w:t>
      </w:r>
      <w:r>
        <w:rPr>
          <w:spacing w:val="-2"/>
        </w:rPr>
        <w:t>Çekiciliği</w:t>
      </w:r>
    </w:p>
    <w:p w14:paraId="11FE7E24">
      <w:pPr>
        <w:pStyle w:val="5"/>
        <w:ind w:left="202"/>
        <w:rPr>
          <w:rFonts w:ascii="Arial"/>
          <w:b/>
          <w:sz w:val="20"/>
        </w:rPr>
      </w:pPr>
    </w:p>
    <w:p w14:paraId="6E668168">
      <w:pPr>
        <w:pStyle w:val="5"/>
        <w:ind w:left="202"/>
        <w:rPr>
          <w:rFonts w:ascii="Arial"/>
          <w:b/>
          <w:sz w:val="20"/>
        </w:rPr>
      </w:pPr>
    </w:p>
    <w:p w14:paraId="33F09337">
      <w:pPr>
        <w:pStyle w:val="5"/>
        <w:spacing w:before="7"/>
        <w:ind w:left="202"/>
        <w:rPr>
          <w:rFonts w:ascii="Arial"/>
          <w:b/>
          <w:sz w:val="20"/>
        </w:rPr>
      </w:pPr>
    </w:p>
    <w:p w14:paraId="4219E41D">
      <w:pPr>
        <w:pStyle w:val="5"/>
        <w:ind w:left="202"/>
        <w:jc w:val="center"/>
        <w:rPr>
          <w:rFonts w:ascii="Arial"/>
          <w:b/>
          <w:sz w:val="24"/>
        </w:rPr>
      </w:pPr>
      <w:r>
        <w:rPr>
          <w:rFonts w:ascii="Arial"/>
          <w:b/>
          <w:sz w:val="24"/>
          <w:lang w:eastAsia="tr-TR"/>
        </w:rPr>
        <w:drawing>
          <wp:inline distT="0" distB="0" distL="0" distR="0">
            <wp:extent cx="2432050" cy="2828290"/>
            <wp:effectExtent l="0" t="0" r="635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sim 1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432103" cy="2828310"/>
                    </a:xfrm>
                    <a:prstGeom prst="rect">
                      <a:avLst/>
                    </a:prstGeom>
                  </pic:spPr>
                </pic:pic>
              </a:graphicData>
            </a:graphic>
          </wp:inline>
        </w:drawing>
      </w:r>
    </w:p>
    <w:p w14:paraId="67512623">
      <w:pPr>
        <w:pStyle w:val="5"/>
        <w:spacing w:before="133"/>
        <w:ind w:left="202"/>
        <w:rPr>
          <w:rFonts w:ascii="Arial"/>
          <w:b/>
          <w:sz w:val="24"/>
        </w:rPr>
      </w:pPr>
    </w:p>
    <w:p w14:paraId="3DFD8F25">
      <w:pPr>
        <w:pStyle w:val="5"/>
        <w:spacing w:line="288" w:lineRule="auto"/>
        <w:ind w:left="547" w:right="343"/>
        <w:sectPr>
          <w:pgSz w:w="11910" w:h="16850"/>
          <w:pgMar w:top="720" w:right="283" w:bottom="280" w:left="283" w:header="708" w:footer="708" w:gutter="0"/>
          <w:cols w:space="708" w:num="1"/>
        </w:sectPr>
      </w:pPr>
      <w:r>
        <w:rPr>
          <w:rFonts w:ascii="Arial" w:hAnsi="Arial"/>
          <w:b/>
        </w:rPr>
        <w:t xml:space="preserve">Değerlendirme: </w:t>
      </w:r>
      <w:r>
        <w:t>Etkinliğin konu başlığı katılımcılar tarafından 5 üzerinden ortalama 3.88 puan ile değerlendirilmiştir. Bu sonuç, sağlık sektörü ve kariyer olanaklarına odaklanan etkinlik başlığının öğrencilerin ilgisini çekmeyi başardığını göstermektedir.</w:t>
      </w:r>
    </w:p>
    <w:p w14:paraId="1193A8A4">
      <w:pPr>
        <w:pStyle w:val="2"/>
        <w:numPr>
          <w:ilvl w:val="0"/>
          <w:numId w:val="2"/>
        </w:numPr>
        <w:tabs>
          <w:tab w:val="left" w:pos="611"/>
        </w:tabs>
        <w:spacing w:before="81"/>
        <w:ind w:left="813" w:hanging="266"/>
        <w:jc w:val="left"/>
      </w:pPr>
      <w:r>
        <w:t>Konuşmacı</w:t>
      </w:r>
      <w:r>
        <w:rPr>
          <w:spacing w:val="-5"/>
        </w:rPr>
        <w:t xml:space="preserve"> </w:t>
      </w:r>
      <w:r>
        <w:rPr>
          <w:spacing w:val="-2"/>
        </w:rPr>
        <w:t>Yetkinliği</w:t>
      </w:r>
    </w:p>
    <w:p w14:paraId="159E2919">
      <w:pPr>
        <w:pStyle w:val="5"/>
        <w:ind w:left="202"/>
        <w:rPr>
          <w:rFonts w:ascii="Arial"/>
          <w:b/>
          <w:sz w:val="20"/>
        </w:rPr>
      </w:pPr>
    </w:p>
    <w:p w14:paraId="72B56DC6">
      <w:pPr>
        <w:pStyle w:val="5"/>
        <w:ind w:left="202"/>
        <w:rPr>
          <w:rFonts w:ascii="Arial"/>
          <w:b/>
          <w:sz w:val="20"/>
        </w:rPr>
      </w:pPr>
    </w:p>
    <w:p w14:paraId="3C48A316">
      <w:pPr>
        <w:pStyle w:val="5"/>
        <w:spacing w:before="6"/>
        <w:ind w:left="202"/>
        <w:rPr>
          <w:rFonts w:ascii="Arial"/>
          <w:b/>
          <w:sz w:val="20"/>
        </w:rPr>
      </w:pPr>
    </w:p>
    <w:p w14:paraId="37145F83">
      <w:pPr>
        <w:pStyle w:val="5"/>
        <w:ind w:left="202"/>
        <w:jc w:val="center"/>
        <w:rPr>
          <w:rFonts w:ascii="Arial"/>
          <w:b/>
          <w:sz w:val="24"/>
        </w:rPr>
      </w:pPr>
      <w:r>
        <w:rPr>
          <w:rFonts w:ascii="Arial"/>
          <w:b/>
          <w:sz w:val="24"/>
          <w:lang w:eastAsia="tr-TR"/>
        </w:rPr>
        <w:drawing>
          <wp:inline distT="0" distB="0" distL="0" distR="0">
            <wp:extent cx="2675890" cy="284607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75923" cy="2846597"/>
                    </a:xfrm>
                    <a:prstGeom prst="rect">
                      <a:avLst/>
                    </a:prstGeom>
                  </pic:spPr>
                </pic:pic>
              </a:graphicData>
            </a:graphic>
          </wp:inline>
        </w:drawing>
      </w:r>
    </w:p>
    <w:p w14:paraId="3392843A">
      <w:pPr>
        <w:pStyle w:val="5"/>
        <w:spacing w:before="128"/>
        <w:ind w:left="202"/>
        <w:rPr>
          <w:rFonts w:ascii="Arial"/>
          <w:b/>
          <w:sz w:val="24"/>
        </w:rPr>
      </w:pPr>
    </w:p>
    <w:p w14:paraId="6285D90B">
      <w:pPr>
        <w:pStyle w:val="5"/>
        <w:spacing w:before="1" w:line="288" w:lineRule="auto"/>
        <w:ind w:left="547" w:right="344"/>
      </w:pPr>
      <w:r>
        <w:rPr>
          <w:rFonts w:ascii="Arial" w:hAnsi="Arial"/>
          <w:b/>
        </w:rPr>
        <w:t xml:space="preserve">Değerlendirme: </w:t>
      </w:r>
      <w:r>
        <w:t>Konuşmacıların alanlarındaki uzmanlığı katılımcılar tarafından 5 üzerinden ortalama 4.05 puan ile değerlendirilmiştir. Bu durum, etkinlikte yer alan sektör temsilcilerinin bilgi ve deneyimlerinin öğrenciler tarafından olumlu karşılandığını göstermektedir.</w:t>
      </w:r>
    </w:p>
    <w:p w14:paraId="6834E8EF">
      <w:pPr>
        <w:pStyle w:val="5"/>
        <w:spacing w:before="1" w:line="288" w:lineRule="auto"/>
        <w:ind w:left="547" w:right="344"/>
      </w:pPr>
    </w:p>
    <w:p w14:paraId="500F70B3">
      <w:pPr>
        <w:pStyle w:val="5"/>
        <w:spacing w:before="1" w:line="288" w:lineRule="auto"/>
        <w:ind w:left="547" w:right="344"/>
      </w:pPr>
    </w:p>
    <w:p w14:paraId="3C290119">
      <w:pPr>
        <w:pStyle w:val="5"/>
        <w:spacing w:before="1" w:line="288" w:lineRule="auto"/>
        <w:ind w:left="547" w:right="344"/>
      </w:pPr>
    </w:p>
    <w:p w14:paraId="7C7FA801">
      <w:pPr>
        <w:pStyle w:val="5"/>
        <w:spacing w:before="1" w:line="288" w:lineRule="auto"/>
        <w:ind w:left="547" w:right="344"/>
      </w:pPr>
    </w:p>
    <w:p w14:paraId="5D627E6F">
      <w:pPr>
        <w:pStyle w:val="2"/>
        <w:numPr>
          <w:ilvl w:val="0"/>
          <w:numId w:val="2"/>
        </w:numPr>
        <w:tabs>
          <w:tab w:val="left" w:pos="611"/>
        </w:tabs>
        <w:ind w:left="813" w:hanging="266"/>
        <w:jc w:val="left"/>
      </w:pPr>
      <w:r>
        <w:t>Sunum Dili ve</w:t>
      </w:r>
      <w:r>
        <w:rPr>
          <w:spacing w:val="-9"/>
        </w:rPr>
        <w:t xml:space="preserve"> </w:t>
      </w:r>
      <w:r>
        <w:t>Anlatım</w:t>
      </w:r>
      <w:r>
        <w:rPr>
          <w:spacing w:val="-9"/>
        </w:rPr>
        <w:t xml:space="preserve"> </w:t>
      </w:r>
      <w:r>
        <w:rPr>
          <w:spacing w:val="-2"/>
        </w:rPr>
        <w:t>Anlaşılırlığı</w:t>
      </w:r>
    </w:p>
    <w:p w14:paraId="6BDD27B8">
      <w:pPr>
        <w:pStyle w:val="5"/>
        <w:ind w:left="202"/>
        <w:rPr>
          <w:rFonts w:ascii="Arial"/>
          <w:b/>
          <w:sz w:val="20"/>
        </w:rPr>
      </w:pPr>
    </w:p>
    <w:p w14:paraId="38A54F35">
      <w:pPr>
        <w:pStyle w:val="5"/>
        <w:ind w:left="202"/>
        <w:rPr>
          <w:rFonts w:ascii="Arial"/>
          <w:b/>
          <w:sz w:val="20"/>
        </w:rPr>
      </w:pPr>
    </w:p>
    <w:p w14:paraId="409888EE">
      <w:pPr>
        <w:pStyle w:val="5"/>
        <w:spacing w:before="5"/>
        <w:ind w:left="202"/>
        <w:jc w:val="center"/>
        <w:rPr>
          <w:rFonts w:ascii="Arial"/>
          <w:b/>
          <w:sz w:val="20"/>
        </w:rPr>
      </w:pPr>
      <w:r>
        <w:rPr>
          <w:rFonts w:ascii="Arial"/>
          <w:b/>
          <w:sz w:val="20"/>
          <w:lang w:eastAsia="tr-TR"/>
        </w:rPr>
        <w:drawing>
          <wp:inline distT="0" distB="0" distL="0" distR="0">
            <wp:extent cx="2730500" cy="2834005"/>
            <wp:effectExtent l="0" t="0" r="0" b="444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30782" cy="2834406"/>
                    </a:xfrm>
                    <a:prstGeom prst="rect">
                      <a:avLst/>
                    </a:prstGeom>
                  </pic:spPr>
                </pic:pic>
              </a:graphicData>
            </a:graphic>
          </wp:inline>
        </w:drawing>
      </w:r>
    </w:p>
    <w:p w14:paraId="2FD324BF">
      <w:pPr>
        <w:pStyle w:val="5"/>
        <w:ind w:left="202"/>
        <w:rPr>
          <w:rFonts w:ascii="Arial"/>
          <w:b/>
          <w:sz w:val="24"/>
        </w:rPr>
      </w:pPr>
    </w:p>
    <w:p w14:paraId="52C0C79F">
      <w:pPr>
        <w:pStyle w:val="5"/>
        <w:spacing w:before="131"/>
        <w:ind w:left="202"/>
        <w:rPr>
          <w:rFonts w:ascii="Arial"/>
          <w:b/>
          <w:sz w:val="24"/>
        </w:rPr>
      </w:pPr>
    </w:p>
    <w:p w14:paraId="36F14E66">
      <w:pPr>
        <w:pStyle w:val="5"/>
        <w:spacing w:line="288" w:lineRule="auto"/>
        <w:ind w:left="547" w:right="343"/>
        <w:sectPr>
          <w:pgSz w:w="11910" w:h="16850"/>
          <w:pgMar w:top="800" w:right="283" w:bottom="280" w:left="283" w:header="708" w:footer="708" w:gutter="0"/>
          <w:cols w:space="708" w:num="1"/>
        </w:sectPr>
      </w:pPr>
      <w:r>
        <w:rPr>
          <w:rFonts w:ascii="Arial" w:hAnsi="Arial"/>
          <w:b/>
        </w:rPr>
        <w:t xml:space="preserve">Değerlendirme: </w:t>
      </w:r>
      <w:r>
        <w:t>Sunum dili ve anlatımın anlaşılırlığı katılımcılar tarafından 5 üzerinden ortalama 3.96 puan ile değerlendirilmiştir. Bu sonuç, konuşmacıların bilgileri açık ve anlaşılır bir şekilde aktardığını göstermektedir.</w:t>
      </w:r>
    </w:p>
    <w:p w14:paraId="537102C3">
      <w:pPr>
        <w:pStyle w:val="2"/>
        <w:numPr>
          <w:ilvl w:val="0"/>
          <w:numId w:val="2"/>
        </w:numPr>
        <w:tabs>
          <w:tab w:val="left" w:pos="611"/>
        </w:tabs>
        <w:spacing w:before="76"/>
        <w:ind w:left="1079" w:hanging="266"/>
        <w:jc w:val="left"/>
      </w:pPr>
      <w:r>
        <w:t>Etkinlik Süresi ve</w:t>
      </w:r>
      <w:r>
        <w:rPr>
          <w:spacing w:val="-9"/>
        </w:rPr>
        <w:t xml:space="preserve"> </w:t>
      </w:r>
      <w:r>
        <w:rPr>
          <w:spacing w:val="-2"/>
        </w:rPr>
        <w:t>Akışı</w:t>
      </w:r>
    </w:p>
    <w:p w14:paraId="2C244F29">
      <w:pPr>
        <w:pStyle w:val="5"/>
        <w:ind w:left="468"/>
        <w:rPr>
          <w:rFonts w:ascii="Arial"/>
          <w:b/>
          <w:sz w:val="20"/>
        </w:rPr>
      </w:pPr>
    </w:p>
    <w:p w14:paraId="30965FFF">
      <w:pPr>
        <w:pStyle w:val="5"/>
        <w:spacing w:before="221"/>
        <w:ind w:left="468"/>
        <w:jc w:val="center"/>
        <w:rPr>
          <w:rFonts w:ascii="Arial"/>
          <w:b/>
          <w:sz w:val="20"/>
        </w:rPr>
      </w:pPr>
      <w:r>
        <w:rPr>
          <w:rFonts w:ascii="Arial"/>
          <w:b/>
          <w:sz w:val="20"/>
          <w:lang w:eastAsia="tr-TR"/>
        </w:rPr>
        <w:drawing>
          <wp:inline distT="0" distB="0" distL="0" distR="0">
            <wp:extent cx="2943860" cy="2834005"/>
            <wp:effectExtent l="0" t="0" r="8890" b="444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44125" cy="2834406"/>
                    </a:xfrm>
                    <a:prstGeom prst="rect">
                      <a:avLst/>
                    </a:prstGeom>
                  </pic:spPr>
                </pic:pic>
              </a:graphicData>
            </a:graphic>
          </wp:inline>
        </w:drawing>
      </w:r>
    </w:p>
    <w:p w14:paraId="06FEC08A">
      <w:pPr>
        <w:pStyle w:val="5"/>
        <w:ind w:left="468"/>
        <w:rPr>
          <w:rFonts w:ascii="Arial"/>
          <w:b/>
          <w:sz w:val="24"/>
        </w:rPr>
      </w:pPr>
    </w:p>
    <w:p w14:paraId="1852A706">
      <w:pPr>
        <w:pStyle w:val="5"/>
        <w:spacing w:before="106"/>
        <w:ind w:left="468"/>
        <w:rPr>
          <w:rFonts w:ascii="Arial"/>
          <w:b/>
          <w:sz w:val="24"/>
        </w:rPr>
      </w:pPr>
    </w:p>
    <w:p w14:paraId="3B990DE7">
      <w:pPr>
        <w:pStyle w:val="5"/>
        <w:spacing w:line="288" w:lineRule="auto"/>
        <w:ind w:left="1098"/>
      </w:pPr>
      <w:r>
        <w:rPr>
          <w:rFonts w:ascii="Arial" w:hAnsi="Arial"/>
          <w:b/>
        </w:rPr>
        <w:t xml:space="preserve">Değerlendirme: </w:t>
      </w:r>
      <w:r>
        <w:t>Etkinliğin süresi ve program akışı 5 üzerinden ortalama 4.14 puan ile değerlendirilmiştir. Programın planlanan şekilde ilerlemesi ve zaman yönetiminin başarılı olması katılımcılar tarafından olumlu bulunmuştur..</w:t>
      </w:r>
    </w:p>
    <w:p w14:paraId="5377AB9A">
      <w:pPr>
        <w:pStyle w:val="5"/>
        <w:spacing w:line="288" w:lineRule="auto"/>
        <w:ind w:left="1098"/>
      </w:pPr>
    </w:p>
    <w:p w14:paraId="7F7CF23B">
      <w:pPr>
        <w:pStyle w:val="5"/>
        <w:spacing w:line="288" w:lineRule="auto"/>
        <w:ind w:left="1098"/>
      </w:pPr>
    </w:p>
    <w:p w14:paraId="0AD3DC73">
      <w:pPr>
        <w:pStyle w:val="5"/>
        <w:spacing w:line="288" w:lineRule="auto"/>
        <w:ind w:left="1098"/>
      </w:pPr>
    </w:p>
    <w:p w14:paraId="603A7359">
      <w:pPr>
        <w:pStyle w:val="5"/>
        <w:ind w:left="468"/>
      </w:pPr>
    </w:p>
    <w:p w14:paraId="06124991">
      <w:pPr>
        <w:pStyle w:val="5"/>
        <w:spacing w:before="126"/>
        <w:ind w:left="468"/>
      </w:pPr>
    </w:p>
    <w:p w14:paraId="5938132D">
      <w:pPr>
        <w:pStyle w:val="2"/>
        <w:numPr>
          <w:ilvl w:val="0"/>
          <w:numId w:val="2"/>
        </w:numPr>
        <w:tabs>
          <w:tab w:val="left" w:pos="896"/>
        </w:tabs>
        <w:ind w:left="1364" w:hanging="266"/>
        <w:jc w:val="left"/>
      </w:pPr>
      <w:r>
        <w:t xml:space="preserve">Kariyer Planlamasına </w:t>
      </w:r>
      <w:r>
        <w:rPr>
          <w:spacing w:val="-2"/>
        </w:rPr>
        <w:t>Katkısı</w:t>
      </w:r>
    </w:p>
    <w:p w14:paraId="683FD20B">
      <w:pPr>
        <w:pStyle w:val="5"/>
        <w:ind w:left="468"/>
        <w:rPr>
          <w:rFonts w:ascii="Arial"/>
          <w:b/>
          <w:sz w:val="20"/>
        </w:rPr>
      </w:pPr>
    </w:p>
    <w:p w14:paraId="0F760FB6">
      <w:pPr>
        <w:pStyle w:val="5"/>
        <w:spacing w:before="221"/>
        <w:ind w:left="468"/>
        <w:rPr>
          <w:rFonts w:ascii="Arial"/>
          <w:b/>
          <w:sz w:val="20"/>
        </w:rPr>
      </w:pPr>
    </w:p>
    <w:p w14:paraId="403C5BC7">
      <w:pPr>
        <w:pStyle w:val="5"/>
        <w:ind w:left="468"/>
        <w:jc w:val="center"/>
        <w:rPr>
          <w:rFonts w:ascii="Arial"/>
          <w:b/>
          <w:sz w:val="24"/>
        </w:rPr>
      </w:pPr>
      <w:r>
        <w:rPr>
          <w:rFonts w:ascii="Arial"/>
          <w:b/>
          <w:sz w:val="24"/>
          <w:lang w:eastAsia="tr-TR"/>
        </w:rPr>
        <w:drawing>
          <wp:inline distT="0" distB="0" distL="0" distR="0">
            <wp:extent cx="2425700" cy="282194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sim 2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26007" cy="2822215"/>
                    </a:xfrm>
                    <a:prstGeom prst="rect">
                      <a:avLst/>
                    </a:prstGeom>
                  </pic:spPr>
                </pic:pic>
              </a:graphicData>
            </a:graphic>
          </wp:inline>
        </w:drawing>
      </w:r>
    </w:p>
    <w:p w14:paraId="4B401EF4">
      <w:pPr>
        <w:pStyle w:val="5"/>
        <w:spacing w:before="104"/>
        <w:ind w:left="468"/>
        <w:rPr>
          <w:rFonts w:ascii="Arial"/>
          <w:b/>
          <w:sz w:val="24"/>
        </w:rPr>
      </w:pPr>
    </w:p>
    <w:p w14:paraId="28AF8A33">
      <w:pPr>
        <w:pStyle w:val="5"/>
        <w:spacing w:line="288" w:lineRule="auto"/>
        <w:ind w:left="813" w:right="343"/>
        <w:sectPr>
          <w:pgSz w:w="11910" w:h="16850"/>
          <w:pgMar w:top="620" w:right="283" w:bottom="280" w:left="283" w:header="708" w:footer="708" w:gutter="0"/>
          <w:cols w:space="708" w:num="1"/>
        </w:sectPr>
      </w:pPr>
      <w:r>
        <w:rPr>
          <w:rFonts w:ascii="Arial" w:hAnsi="Arial"/>
          <w:b/>
        </w:rPr>
        <w:t xml:space="preserve">Değerlendirme: </w:t>
      </w:r>
      <w:r>
        <w:t>Etkinliğin kariyer planlamasına katkısı katılımcılar tarafından 5 üzerinden ortalama 4.16 puan ile değerlendirilmiştir. Bu sonuç, sağlık sektöründeki kariyer fırsatlarının öğrencilere yol gösterici olduğunu göstermektedir.</w:t>
      </w:r>
    </w:p>
    <w:p w14:paraId="49173AC7">
      <w:pPr>
        <w:pStyle w:val="2"/>
        <w:numPr>
          <w:ilvl w:val="0"/>
          <w:numId w:val="2"/>
        </w:numPr>
        <w:tabs>
          <w:tab w:val="left" w:pos="401"/>
        </w:tabs>
        <w:spacing w:before="76"/>
        <w:ind w:left="603" w:hanging="261"/>
        <w:jc w:val="left"/>
      </w:pPr>
      <w:r>
        <w:t>Yeni</w:t>
      </w:r>
      <w:r>
        <w:rPr>
          <w:spacing w:val="-3"/>
        </w:rPr>
        <w:t xml:space="preserve"> </w:t>
      </w:r>
      <w:r>
        <w:t>Bilgiler</w:t>
      </w:r>
      <w:r>
        <w:rPr>
          <w:spacing w:val="-3"/>
        </w:rPr>
        <w:t xml:space="preserve"> </w:t>
      </w:r>
      <w:r>
        <w:t>ve</w:t>
      </w:r>
      <w:r>
        <w:rPr>
          <w:spacing w:val="-3"/>
        </w:rPr>
        <w:t xml:space="preserve"> </w:t>
      </w:r>
      <w:r>
        <w:t>Bakış</w:t>
      </w:r>
      <w:r>
        <w:rPr>
          <w:spacing w:val="-12"/>
        </w:rPr>
        <w:t xml:space="preserve"> </w:t>
      </w:r>
      <w:r>
        <w:t>Açıları</w:t>
      </w:r>
      <w:r>
        <w:rPr>
          <w:spacing w:val="-2"/>
        </w:rPr>
        <w:t xml:space="preserve"> Kazanımı</w:t>
      </w:r>
    </w:p>
    <w:p w14:paraId="1EBD0CA1">
      <w:pPr>
        <w:pStyle w:val="5"/>
        <w:ind w:left="202"/>
        <w:rPr>
          <w:rFonts w:ascii="Arial"/>
          <w:b/>
          <w:sz w:val="20"/>
        </w:rPr>
      </w:pPr>
    </w:p>
    <w:p w14:paraId="76ED58F7">
      <w:pPr>
        <w:pStyle w:val="5"/>
        <w:ind w:left="202"/>
        <w:rPr>
          <w:rFonts w:ascii="Arial"/>
          <w:b/>
          <w:sz w:val="20"/>
        </w:rPr>
      </w:pPr>
    </w:p>
    <w:p w14:paraId="29C45B70">
      <w:pPr>
        <w:pStyle w:val="5"/>
        <w:spacing w:before="6"/>
        <w:ind w:left="202"/>
        <w:jc w:val="center"/>
        <w:rPr>
          <w:rFonts w:ascii="Arial"/>
          <w:b/>
          <w:sz w:val="20"/>
        </w:rPr>
      </w:pPr>
      <w:r>
        <w:rPr>
          <w:rFonts w:ascii="Arial"/>
          <w:b/>
          <w:sz w:val="20"/>
          <w:lang w:eastAsia="tr-TR"/>
        </w:rPr>
        <w:drawing>
          <wp:inline distT="0" distB="0" distL="0" distR="0">
            <wp:extent cx="2986405" cy="2882900"/>
            <wp:effectExtent l="0" t="0" r="4445"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esim 3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86793" cy="2883170"/>
                    </a:xfrm>
                    <a:prstGeom prst="rect">
                      <a:avLst/>
                    </a:prstGeom>
                  </pic:spPr>
                </pic:pic>
              </a:graphicData>
            </a:graphic>
          </wp:inline>
        </w:drawing>
      </w:r>
    </w:p>
    <w:p w14:paraId="200C6FC9">
      <w:pPr>
        <w:pStyle w:val="5"/>
        <w:ind w:left="202"/>
        <w:rPr>
          <w:rFonts w:ascii="Arial"/>
          <w:b/>
          <w:sz w:val="24"/>
        </w:rPr>
      </w:pPr>
    </w:p>
    <w:p w14:paraId="2D245938">
      <w:pPr>
        <w:pStyle w:val="5"/>
        <w:spacing w:before="119"/>
        <w:ind w:left="202"/>
        <w:rPr>
          <w:rFonts w:ascii="Arial"/>
          <w:b/>
          <w:sz w:val="24"/>
        </w:rPr>
      </w:pPr>
    </w:p>
    <w:p w14:paraId="52051A2C">
      <w:pPr>
        <w:pStyle w:val="5"/>
        <w:spacing w:line="288" w:lineRule="auto"/>
        <w:ind w:left="357" w:right="533"/>
      </w:pPr>
      <w:r>
        <w:rPr>
          <w:rFonts w:ascii="Arial" w:hAnsi="Arial"/>
          <w:b/>
        </w:rPr>
        <w:t xml:space="preserve">Değerlendirme: </w:t>
      </w:r>
      <w:r>
        <w:t>Katılımcılar etkinlik sonunda yeni bilgiler ve farklı bakış açıları kazandıklarını belirtmiş ve bu başlık 5 üzerinden ortalama 4.25 puan almıştır. Bu sonuç, etkinliğin bilgilendirici ve öğretici yönünün güçlü olduğunu göstermektedir.</w:t>
      </w:r>
    </w:p>
    <w:p w14:paraId="0A20E2C5">
      <w:pPr>
        <w:pStyle w:val="5"/>
        <w:spacing w:line="288" w:lineRule="auto"/>
        <w:ind w:left="357" w:right="533"/>
      </w:pPr>
    </w:p>
    <w:p w14:paraId="052C8686">
      <w:pPr>
        <w:pStyle w:val="5"/>
        <w:spacing w:line="288" w:lineRule="auto"/>
        <w:ind w:left="357" w:right="533"/>
      </w:pPr>
    </w:p>
    <w:p w14:paraId="7E1C8923">
      <w:pPr>
        <w:pStyle w:val="5"/>
        <w:spacing w:line="288" w:lineRule="auto"/>
        <w:ind w:left="357" w:right="533"/>
      </w:pPr>
    </w:p>
    <w:p w14:paraId="77228DA8">
      <w:pPr>
        <w:pStyle w:val="5"/>
        <w:spacing w:before="134"/>
        <w:ind w:left="202"/>
      </w:pPr>
    </w:p>
    <w:p w14:paraId="1EB9B371">
      <w:pPr>
        <w:pStyle w:val="2"/>
        <w:numPr>
          <w:ilvl w:val="0"/>
          <w:numId w:val="2"/>
        </w:numPr>
        <w:tabs>
          <w:tab w:val="left" w:pos="421"/>
        </w:tabs>
        <w:ind w:left="623" w:hanging="266"/>
        <w:jc w:val="left"/>
      </w:pPr>
      <w:r>
        <w:t>Diğer</w:t>
      </w:r>
      <w:r>
        <w:rPr>
          <w:spacing w:val="-7"/>
        </w:rPr>
        <w:t xml:space="preserve"> </w:t>
      </w:r>
      <w:r>
        <w:t>Öğrencilere</w:t>
      </w:r>
      <w:r>
        <w:rPr>
          <w:spacing w:val="-4"/>
        </w:rPr>
        <w:t xml:space="preserve"> </w:t>
      </w:r>
      <w:r>
        <w:t>Tavsiye</w:t>
      </w:r>
      <w:r>
        <w:rPr>
          <w:spacing w:val="-5"/>
        </w:rPr>
        <w:t xml:space="preserve"> </w:t>
      </w:r>
      <w:r>
        <w:t>Etme</w:t>
      </w:r>
      <w:r>
        <w:rPr>
          <w:spacing w:val="-4"/>
        </w:rPr>
        <w:t xml:space="preserve"> </w:t>
      </w:r>
      <w:r>
        <w:rPr>
          <w:spacing w:val="-2"/>
        </w:rPr>
        <w:t>Durumu</w:t>
      </w:r>
    </w:p>
    <w:p w14:paraId="5DF884FA">
      <w:pPr>
        <w:pStyle w:val="5"/>
        <w:ind w:left="202"/>
        <w:rPr>
          <w:rFonts w:ascii="Arial"/>
          <w:b/>
          <w:sz w:val="20"/>
        </w:rPr>
      </w:pPr>
    </w:p>
    <w:p w14:paraId="6232E094">
      <w:pPr>
        <w:pStyle w:val="5"/>
        <w:ind w:left="202"/>
        <w:rPr>
          <w:rFonts w:ascii="Arial"/>
          <w:b/>
          <w:sz w:val="20"/>
        </w:rPr>
      </w:pPr>
    </w:p>
    <w:p w14:paraId="762923A9">
      <w:pPr>
        <w:pStyle w:val="5"/>
        <w:spacing w:before="6"/>
        <w:ind w:left="202"/>
        <w:jc w:val="center"/>
        <w:rPr>
          <w:rFonts w:ascii="Arial"/>
          <w:b/>
          <w:sz w:val="20"/>
        </w:rPr>
      </w:pPr>
      <w:r>
        <w:rPr>
          <w:rFonts w:ascii="Arial"/>
          <w:b/>
          <w:sz w:val="20"/>
          <w:lang w:eastAsia="tr-TR"/>
        </w:rPr>
        <w:drawing>
          <wp:inline distT="0" distB="0" distL="0" distR="0">
            <wp:extent cx="2449830" cy="2852420"/>
            <wp:effectExtent l="0" t="0" r="7620" b="508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50389" cy="2852692"/>
                    </a:xfrm>
                    <a:prstGeom prst="rect">
                      <a:avLst/>
                    </a:prstGeom>
                  </pic:spPr>
                </pic:pic>
              </a:graphicData>
            </a:graphic>
          </wp:inline>
        </w:drawing>
      </w:r>
    </w:p>
    <w:p w14:paraId="4F6346D8">
      <w:pPr>
        <w:pStyle w:val="5"/>
        <w:ind w:left="202"/>
        <w:rPr>
          <w:rFonts w:ascii="Arial"/>
          <w:b/>
          <w:sz w:val="24"/>
        </w:rPr>
      </w:pPr>
    </w:p>
    <w:p w14:paraId="3B7B2C29">
      <w:pPr>
        <w:pStyle w:val="5"/>
        <w:spacing w:before="121"/>
        <w:ind w:left="202"/>
        <w:rPr>
          <w:rFonts w:ascii="Arial"/>
          <w:b/>
          <w:sz w:val="24"/>
        </w:rPr>
      </w:pPr>
    </w:p>
    <w:p w14:paraId="0881A1D2">
      <w:pPr>
        <w:pStyle w:val="5"/>
        <w:spacing w:line="288" w:lineRule="auto"/>
        <w:ind w:left="357" w:right="533"/>
      </w:pPr>
      <w:r>
        <w:rPr>
          <w:rFonts w:ascii="Arial" w:hAnsi="Arial"/>
          <w:b/>
        </w:rPr>
        <w:t xml:space="preserve">Değerlendirme: </w:t>
      </w:r>
      <w:r>
        <w:t>Katılımcıların büyük bir çoğunluğu etkinliği diğer öğrencilere tavsiye edeceğini belirtmiştir. Bu başlık 5 üzerinden ortalama 3.98 puan alarak etkinliğin öğrenciler arasında olumlu bir deneyim olarak değerlendirildiğini göstermektedir.</w:t>
      </w:r>
    </w:p>
    <w:sectPr>
      <w:pgSz w:w="11910" w:h="16850"/>
      <w:pgMar w:top="540" w:right="283" w:bottom="280" w:left="283"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Sans Serif">
    <w:panose1 w:val="020B0604020202020204"/>
    <w:charset w:val="A2"/>
    <w:family w:val="swiss"/>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B2254"/>
    <w:multiLevelType w:val="multilevel"/>
    <w:tmpl w:val="046B22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261C6B"/>
    <w:multiLevelType w:val="multilevel"/>
    <w:tmpl w:val="27261C6B"/>
    <w:lvl w:ilvl="0" w:tentative="0">
      <w:start w:val="1"/>
      <w:numFmt w:val="decimal"/>
      <w:lvlText w:val="%1."/>
      <w:lvlJc w:val="left"/>
      <w:pPr>
        <w:ind w:left="634" w:hanging="290"/>
        <w:jc w:val="right"/>
      </w:pPr>
      <w:rPr>
        <w:rFonts w:hint="default"/>
        <w:spacing w:val="-1"/>
        <w:w w:val="100"/>
        <w:lang w:val="tr-TR" w:eastAsia="en-US" w:bidi="ar-SA"/>
      </w:rPr>
    </w:lvl>
    <w:lvl w:ilvl="1" w:tentative="0">
      <w:start w:val="0"/>
      <w:numFmt w:val="bullet"/>
      <w:lvlText w:val="•"/>
      <w:lvlJc w:val="left"/>
      <w:pPr>
        <w:ind w:left="1710" w:hanging="290"/>
      </w:pPr>
      <w:rPr>
        <w:rFonts w:hint="default"/>
        <w:lang w:val="tr-TR" w:eastAsia="en-US" w:bidi="ar-SA"/>
      </w:rPr>
    </w:lvl>
    <w:lvl w:ilvl="2" w:tentative="0">
      <w:start w:val="0"/>
      <w:numFmt w:val="bullet"/>
      <w:lvlText w:val="•"/>
      <w:lvlJc w:val="left"/>
      <w:pPr>
        <w:ind w:left="2780" w:hanging="290"/>
      </w:pPr>
      <w:rPr>
        <w:rFonts w:hint="default"/>
        <w:lang w:val="tr-TR" w:eastAsia="en-US" w:bidi="ar-SA"/>
      </w:rPr>
    </w:lvl>
    <w:lvl w:ilvl="3" w:tentative="0">
      <w:start w:val="0"/>
      <w:numFmt w:val="bullet"/>
      <w:lvlText w:val="•"/>
      <w:lvlJc w:val="left"/>
      <w:pPr>
        <w:ind w:left="3851" w:hanging="290"/>
      </w:pPr>
      <w:rPr>
        <w:rFonts w:hint="default"/>
        <w:lang w:val="tr-TR" w:eastAsia="en-US" w:bidi="ar-SA"/>
      </w:rPr>
    </w:lvl>
    <w:lvl w:ilvl="4" w:tentative="0">
      <w:start w:val="0"/>
      <w:numFmt w:val="bullet"/>
      <w:lvlText w:val="•"/>
      <w:lvlJc w:val="left"/>
      <w:pPr>
        <w:ind w:left="4921" w:hanging="290"/>
      </w:pPr>
      <w:rPr>
        <w:rFonts w:hint="default"/>
        <w:lang w:val="tr-TR" w:eastAsia="en-US" w:bidi="ar-SA"/>
      </w:rPr>
    </w:lvl>
    <w:lvl w:ilvl="5" w:tentative="0">
      <w:start w:val="0"/>
      <w:numFmt w:val="bullet"/>
      <w:lvlText w:val="•"/>
      <w:lvlJc w:val="left"/>
      <w:pPr>
        <w:ind w:left="5992" w:hanging="290"/>
      </w:pPr>
      <w:rPr>
        <w:rFonts w:hint="default"/>
        <w:lang w:val="tr-TR" w:eastAsia="en-US" w:bidi="ar-SA"/>
      </w:rPr>
    </w:lvl>
    <w:lvl w:ilvl="6" w:tentative="0">
      <w:start w:val="0"/>
      <w:numFmt w:val="bullet"/>
      <w:lvlText w:val="•"/>
      <w:lvlJc w:val="left"/>
      <w:pPr>
        <w:ind w:left="7062" w:hanging="290"/>
      </w:pPr>
      <w:rPr>
        <w:rFonts w:hint="default"/>
        <w:lang w:val="tr-TR" w:eastAsia="en-US" w:bidi="ar-SA"/>
      </w:rPr>
    </w:lvl>
    <w:lvl w:ilvl="7" w:tentative="0">
      <w:start w:val="0"/>
      <w:numFmt w:val="bullet"/>
      <w:lvlText w:val="•"/>
      <w:lvlJc w:val="left"/>
      <w:pPr>
        <w:ind w:left="8132" w:hanging="290"/>
      </w:pPr>
      <w:rPr>
        <w:rFonts w:hint="default"/>
        <w:lang w:val="tr-TR" w:eastAsia="en-US" w:bidi="ar-SA"/>
      </w:rPr>
    </w:lvl>
    <w:lvl w:ilvl="8" w:tentative="0">
      <w:start w:val="0"/>
      <w:numFmt w:val="bullet"/>
      <w:lvlText w:val="•"/>
      <w:lvlJc w:val="left"/>
      <w:pPr>
        <w:ind w:left="9203" w:hanging="29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BE"/>
    <w:rsid w:val="002F01F9"/>
    <w:rsid w:val="005C4D76"/>
    <w:rsid w:val="00712C64"/>
    <w:rsid w:val="008601DD"/>
    <w:rsid w:val="008A6B2A"/>
    <w:rsid w:val="009C3D6E"/>
    <w:rsid w:val="009D5036"/>
    <w:rsid w:val="00DB57BE"/>
    <w:rsid w:val="00E83717"/>
    <w:rsid w:val="14D97143"/>
    <w:rsid w:val="18357F9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crosoft Sans Serif" w:hAnsi="Microsoft Sans Serif" w:eastAsia="Microsoft Sans Serif" w:cs="Microsoft Sans Serif"/>
      <w:sz w:val="22"/>
      <w:szCs w:val="22"/>
      <w:lang w:val="tr-TR" w:eastAsia="en-US" w:bidi="ar-SA"/>
    </w:rPr>
  </w:style>
  <w:style w:type="paragraph" w:styleId="2">
    <w:name w:val="heading 1"/>
    <w:basedOn w:val="1"/>
    <w:qFormat/>
    <w:uiPriority w:val="1"/>
    <w:pPr>
      <w:ind w:left="611" w:hanging="266"/>
      <w:outlineLvl w:val="0"/>
    </w:pPr>
    <w:rPr>
      <w:rFonts w:ascii="Arial" w:hAnsi="Arial" w:eastAsia="Arial" w:cs="Arial"/>
      <w:b/>
      <w:bCs/>
      <w:sz w:val="24"/>
      <w:szCs w:val="24"/>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style>
  <w:style w:type="paragraph" w:styleId="6">
    <w:name w:val="Normal (Web)"/>
    <w:basedOn w:val="1"/>
    <w:semiHidden/>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lang w:eastAsia="tr-TR"/>
    </w:rPr>
  </w:style>
  <w:style w:type="character" w:styleId="7">
    <w:name w:val="Strong"/>
    <w:basedOn w:val="3"/>
    <w:qFormat/>
    <w:uiPriority w:val="22"/>
    <w:rPr>
      <w:b/>
      <w:bCs/>
    </w:rPr>
  </w:style>
  <w:style w:type="paragraph" w:styleId="8">
    <w:name w:val="Title"/>
    <w:basedOn w:val="1"/>
    <w:qFormat/>
    <w:uiPriority w:val="1"/>
    <w:pPr>
      <w:spacing w:before="60"/>
      <w:ind w:left="4055" w:hanging="2834"/>
    </w:pPr>
    <w:rPr>
      <w:rFonts w:ascii="Arial" w:hAnsi="Arial" w:eastAsia="Arial" w:cs="Arial"/>
      <w:b/>
      <w:bCs/>
      <w:sz w:val="30"/>
      <w:szCs w:val="30"/>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11" w:hanging="266"/>
    </w:pPr>
    <w:rPr>
      <w:rFonts w:ascii="Arial" w:hAnsi="Arial" w:eastAsia="Arial" w:cs="Arial"/>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621</Words>
  <Characters>3544</Characters>
  <Lines>29</Lines>
  <Paragraphs>8</Paragraphs>
  <TotalTime>1</TotalTime>
  <ScaleCrop>false</ScaleCrop>
  <LinksUpToDate>false</LinksUpToDate>
  <CharactersWithSpaces>4157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2026-03-09T12:31:00Z</dcterms:created>
  <dc:creator>marmara kariyer merkezi</dc:creator>
  <cp:keywords>DAHAJK-DGBQ,BAGiu33S4RI,0</cp:keywords>
  <cp:lastModifiedBy>user</cp:lastModifiedBy>
  <dcterms:modified xsi:type="dcterms:W3CDTF">2026-03-11T10:49:54Z</dcterms:modified>
  <dc:title>Marmara Üniversitesi Kariyer Merkezi tarafından düzenlenen ve Türk Hava Yolları (THY) iş birliğiyle gerçekleştirilen "Take-Off 101" etkinliği için hazırlanan kapsamlı değerlendirme raporu aşağıdadır. Bu rapor, katılımcıların deneyimlerini ve programın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Canva</vt:lpwstr>
  </property>
  <property fmtid="{D5CDD505-2E9C-101B-9397-08002B2CF9AE}" pid="4" name="LastSaved">
    <vt:filetime>2026-02-19T00:00:00Z</vt:filetime>
  </property>
  <property fmtid="{D5CDD505-2E9C-101B-9397-08002B2CF9AE}" pid="5" name="Producer">
    <vt:lpwstr>Canva</vt:lpwstr>
  </property>
  <property fmtid="{D5CDD505-2E9C-101B-9397-08002B2CF9AE}" pid="6" name="KSOProductBuildVer">
    <vt:lpwstr>1055-12.2.0.22549</vt:lpwstr>
  </property>
  <property fmtid="{D5CDD505-2E9C-101B-9397-08002B2CF9AE}" pid="7" name="ICV">
    <vt:lpwstr>403E9133C9D74223BF4B1E16F14A3EE0_13</vt:lpwstr>
  </property>
</Properties>
</file>