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DC" w:rsidRDefault="008E11DC" w:rsidP="008E11DC">
      <w:pPr>
        <w:pStyle w:val="KonuBal"/>
        <w:spacing w:line="280" w:lineRule="auto"/>
        <w:ind w:left="0" w:firstLine="0"/>
        <w:jc w:val="center"/>
      </w:pPr>
      <w:r>
        <w:t>Faaliyet</w:t>
      </w:r>
      <w:r>
        <w:rPr>
          <w:spacing w:val="-13"/>
        </w:rPr>
        <w:t xml:space="preserve"> </w:t>
      </w:r>
      <w:r>
        <w:t>Değerlendirme</w:t>
      </w:r>
      <w:r>
        <w:rPr>
          <w:spacing w:val="-13"/>
        </w:rPr>
        <w:t xml:space="preserve"> </w:t>
      </w:r>
      <w:r>
        <w:t>Raporu</w:t>
      </w:r>
      <w:r w:rsidR="000B3DD2">
        <w:t xml:space="preserve"> </w:t>
      </w:r>
      <w:r w:rsidR="000B3DD2" w:rsidRPr="000B3DD2">
        <w:rPr>
          <w:sz w:val="32"/>
        </w:rPr>
        <w:t xml:space="preserve">2026 Diplomatik Kariyere İlk Adım - T.C. Dışişleri Bakanlığı Kariyer Tanıtım Buluşması  </w:t>
      </w:r>
    </w:p>
    <w:p w:rsidR="008E11DC" w:rsidRDefault="008E11DC" w:rsidP="008E11DC">
      <w:pPr>
        <w:pStyle w:val="KonuBal"/>
        <w:spacing w:line="280" w:lineRule="auto"/>
        <w:ind w:left="0" w:firstLine="0"/>
        <w:jc w:val="center"/>
      </w:pPr>
      <w:r>
        <w:t>KARİYER MERKEZİ (MARKAM)</w:t>
      </w:r>
    </w:p>
    <w:p w:rsidR="008E11DC" w:rsidRDefault="008E11DC" w:rsidP="008E11DC">
      <w:pPr>
        <w:pStyle w:val="KonuBal"/>
        <w:spacing w:line="280" w:lineRule="auto"/>
        <w:ind w:left="0" w:firstLine="0"/>
        <w:jc w:val="center"/>
      </w:pPr>
      <w:r>
        <w:t xml:space="preserve"> </w:t>
      </w:r>
      <w:r w:rsidR="000B3DD2">
        <w:t>15 Mayıs</w:t>
      </w:r>
      <w:r>
        <w:t xml:space="preserve"> 2026</w:t>
      </w:r>
    </w:p>
    <w:p w:rsidR="008E11DC" w:rsidRDefault="008E11DC" w:rsidP="008E11DC">
      <w:pPr>
        <w:pStyle w:val="KonuBal"/>
        <w:spacing w:line="280" w:lineRule="auto"/>
        <w:ind w:left="0" w:firstLine="0"/>
        <w:jc w:val="center"/>
      </w:pPr>
    </w:p>
    <w:p w:rsidR="008E11DC" w:rsidRDefault="008E11DC" w:rsidP="008E11DC">
      <w:pPr>
        <w:pStyle w:val="GvdeMetni"/>
        <w:spacing w:before="167" w:line="290" w:lineRule="auto"/>
        <w:ind w:left="345" w:right="343" w:firstLine="375"/>
        <w:rPr>
          <w:rFonts w:ascii="Arial" w:hAnsi="Arial" w:cs="Arial"/>
        </w:rPr>
      </w:pPr>
      <w:r>
        <w:rPr>
          <w:rFonts w:ascii="Arial" w:hAnsi="Arial" w:cs="Arial"/>
        </w:rPr>
        <w:t xml:space="preserve">Bu rapor, Marmara Üniversitesi Kariyer Merkezi koordinatörlüğünde </w:t>
      </w:r>
      <w:r w:rsidR="000B3DD2">
        <w:rPr>
          <w:rFonts w:ascii="Arial" w:hAnsi="Arial" w:cs="Arial"/>
        </w:rPr>
        <w:t>T.C. Dışişleri Bakanlığı</w:t>
      </w:r>
      <w:r>
        <w:rPr>
          <w:rFonts w:ascii="Arial" w:hAnsi="Arial" w:cs="Arial"/>
        </w:rPr>
        <w:t xml:space="preserve"> iş birliğiyle gerçekleştirilen</w:t>
      </w:r>
      <w:r w:rsidR="00C81158">
        <w:rPr>
          <w:rFonts w:ascii="Arial" w:hAnsi="Arial" w:cs="Arial"/>
        </w:rPr>
        <w:t xml:space="preserve"> </w:t>
      </w:r>
      <w:r w:rsidR="000B3DD2">
        <w:rPr>
          <w:rFonts w:ascii="Arial" w:hAnsi="Arial" w:cs="Arial"/>
        </w:rPr>
        <w:t>’Diplomatik Kariyere İlk Adım – T.C. Dışişleri Bakanlığı Kariyer Tanıtım Buluşması</w:t>
      </w:r>
      <w:r>
        <w:rPr>
          <w:rFonts w:ascii="Arial" w:hAnsi="Arial" w:cs="Arial"/>
        </w:rPr>
        <w:t>’ etkinliğinin sonuçlarını analiz etmek amacıyla hazırlanmıştır.</w:t>
      </w:r>
    </w:p>
    <w:p w:rsidR="008E11DC" w:rsidRDefault="008E11DC" w:rsidP="008E11DC">
      <w:pPr>
        <w:pStyle w:val="GvdeMetni"/>
        <w:spacing w:before="49"/>
        <w:rPr>
          <w:rFonts w:ascii="Arial" w:hAnsi="Arial" w:cs="Arial"/>
        </w:rPr>
      </w:pPr>
    </w:p>
    <w:p w:rsidR="008E11DC" w:rsidRPr="008E11DC" w:rsidRDefault="008E11DC" w:rsidP="000B3DD2">
      <w:pPr>
        <w:pStyle w:val="GvdeMetni"/>
        <w:spacing w:before="162"/>
        <w:ind w:left="345"/>
        <w:rPr>
          <w:rFonts w:ascii="docs-Roboto" w:eastAsia="Times New Roman" w:hAnsi="docs-Roboto" w:cs="Times New Roman"/>
          <w:color w:val="1F1F1F"/>
          <w:lang w:eastAsia="tr-TR"/>
        </w:rPr>
      </w:pPr>
      <w:r>
        <w:rPr>
          <w:rFonts w:ascii="Arial" w:hAnsi="Arial" w:cs="Arial"/>
        </w:rPr>
        <w:t>Etkinlik kapsamında</w:t>
      </w:r>
      <w:r w:rsidR="000B3DD2">
        <w:rPr>
          <w:rFonts w:ascii="Arial" w:hAnsi="Arial" w:cs="Arial"/>
        </w:rPr>
        <w:t xml:space="preserve"> Büyükelçi Dr. </w:t>
      </w:r>
      <w:r w:rsidR="00DD261A">
        <w:rPr>
          <w:rFonts w:ascii="Arial" w:hAnsi="Arial" w:cs="Arial"/>
        </w:rPr>
        <w:t>İsmail Hakkı</w:t>
      </w:r>
      <w:bookmarkStart w:id="0" w:name="_GoBack"/>
      <w:bookmarkEnd w:id="0"/>
      <w:r w:rsidR="000B3DD2">
        <w:rPr>
          <w:rFonts w:ascii="Arial" w:hAnsi="Arial" w:cs="Arial"/>
        </w:rPr>
        <w:t xml:space="preserve"> Musa öğrencilerimizle söyleşi gerçekleştirmiştir ve T.C. Dışişleri Bakanlığındaki iş </w:t>
      </w:r>
      <w:proofErr w:type="gramStart"/>
      <w:r w:rsidR="000B3DD2">
        <w:rPr>
          <w:rFonts w:ascii="Arial" w:hAnsi="Arial" w:cs="Arial"/>
        </w:rPr>
        <w:t>imkanlarıyla</w:t>
      </w:r>
      <w:proofErr w:type="gramEnd"/>
      <w:r w:rsidR="000B3DD2">
        <w:rPr>
          <w:rFonts w:ascii="Arial" w:hAnsi="Arial" w:cs="Arial"/>
        </w:rPr>
        <w:t xml:space="preserve"> ilgili bilgi verilmiştir.</w:t>
      </w:r>
    </w:p>
    <w:p w:rsidR="008E11DC" w:rsidRDefault="008E11DC" w:rsidP="008E11DC">
      <w:pPr>
        <w:pStyle w:val="GvdeMetni"/>
        <w:spacing w:before="162"/>
        <w:ind w:left="345" w:firstLine="360"/>
        <w:rPr>
          <w:rFonts w:ascii="Arial" w:hAnsi="Arial" w:cs="Arial"/>
        </w:rPr>
      </w:pPr>
    </w:p>
    <w:p w:rsidR="008E11DC" w:rsidRDefault="008E11DC" w:rsidP="008E11DC">
      <w:pPr>
        <w:pStyle w:val="GvdeMetni"/>
        <w:spacing w:before="162"/>
        <w:ind w:left="345" w:firstLine="360"/>
        <w:rPr>
          <w:rFonts w:ascii="Arial" w:hAnsi="Arial" w:cs="Arial"/>
          <w:b/>
          <w:bCs/>
        </w:rPr>
      </w:pPr>
      <w:r>
        <w:rPr>
          <w:rFonts w:ascii="Arial" w:hAnsi="Arial" w:cs="Arial"/>
        </w:rPr>
        <w:t xml:space="preserve">Etkinliğe </w:t>
      </w:r>
      <w:r w:rsidR="000B3DD2">
        <w:rPr>
          <w:rFonts w:ascii="Arial" w:hAnsi="Arial" w:cs="Arial"/>
          <w:b/>
          <w:bCs/>
        </w:rPr>
        <w:t>50</w:t>
      </w:r>
      <w:r>
        <w:rPr>
          <w:rFonts w:ascii="Arial" w:hAnsi="Arial" w:cs="Arial"/>
          <w:b/>
          <w:bCs/>
        </w:rPr>
        <w:t xml:space="preserve"> kişi başvurmuş</w:t>
      </w:r>
      <w:r>
        <w:rPr>
          <w:rFonts w:ascii="Arial" w:hAnsi="Arial" w:cs="Arial"/>
        </w:rPr>
        <w:t xml:space="preserve">, etkinlik sonrası yapılan değerlendirme anketine ise </w:t>
      </w:r>
      <w:r w:rsidR="000B3DD2">
        <w:rPr>
          <w:rFonts w:ascii="Arial" w:hAnsi="Arial" w:cs="Arial"/>
          <w:b/>
          <w:bCs/>
        </w:rPr>
        <w:t>50 kişi katılım sağlamıştır.</w:t>
      </w:r>
    </w:p>
    <w:p w:rsidR="008E11DC" w:rsidRDefault="008E11DC" w:rsidP="008E11DC">
      <w:pPr>
        <w:pStyle w:val="GvdeMetni"/>
        <w:spacing w:before="162"/>
        <w:ind w:left="345" w:firstLine="360"/>
        <w:rPr>
          <w:rFonts w:ascii="Arial" w:hAnsi="Arial" w:cs="Arial"/>
        </w:rPr>
      </w:pPr>
    </w:p>
    <w:p w:rsidR="008E11DC" w:rsidRDefault="008E11DC" w:rsidP="008E11DC">
      <w:pPr>
        <w:pStyle w:val="GvdeMetni"/>
        <w:spacing w:before="162"/>
        <w:ind w:left="345" w:firstLine="288"/>
        <w:rPr>
          <w:rFonts w:ascii="Arial" w:hAnsi="Arial" w:cs="Arial"/>
        </w:rPr>
      </w:pPr>
      <w:r>
        <w:rPr>
          <w:rFonts w:ascii="Arial" w:hAnsi="Arial" w:cs="Arial"/>
        </w:rPr>
        <w:t>Analizler, katılımcı öğrencilerin doldurduğu geri bildirim anketlerinden elde edilen veriler doğrultusunda hazırlanmıştır.</w:t>
      </w:r>
    </w:p>
    <w:p w:rsidR="008E11DC" w:rsidRPr="0027053D" w:rsidRDefault="008E11DC" w:rsidP="008E11DC">
      <w:pPr>
        <w:pStyle w:val="GvdeMetni"/>
        <w:numPr>
          <w:ilvl w:val="0"/>
          <w:numId w:val="2"/>
        </w:numPr>
        <w:spacing w:before="162"/>
        <w:rPr>
          <w:rFonts w:ascii="Arial" w:hAnsi="Arial" w:cs="Arial"/>
          <w:b/>
        </w:rPr>
      </w:pPr>
      <w:r w:rsidRPr="0027053D">
        <w:rPr>
          <w:rFonts w:ascii="Arial" w:hAnsi="Arial" w:cs="Arial"/>
          <w:b/>
        </w:rPr>
        <w:t>Etkinliğin Genel Memnuniyet Düzeni</w:t>
      </w:r>
    </w:p>
    <w:p w:rsidR="008E11DC" w:rsidRDefault="008E11DC" w:rsidP="008E11DC">
      <w:pPr>
        <w:pStyle w:val="GvdeMetni"/>
        <w:spacing w:before="162"/>
        <w:ind w:left="345" w:firstLine="288"/>
        <w:rPr>
          <w:rFonts w:ascii="Arial" w:hAnsi="Arial" w:cs="Arial"/>
        </w:rPr>
      </w:pPr>
    </w:p>
    <w:p w:rsidR="00390719" w:rsidRDefault="0091776D">
      <w:r>
        <w:rPr>
          <w:noProof/>
          <w:lang w:eastAsia="tr-TR"/>
        </w:rPr>
        <w:drawing>
          <wp:inline distT="0" distB="0" distL="0" distR="0" wp14:anchorId="19A28B52" wp14:editId="14040FEA">
            <wp:extent cx="4594710" cy="2689412"/>
            <wp:effectExtent l="0" t="0" r="15875" b="15875"/>
            <wp:docPr id="1" name="Grafi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1776D" w:rsidRDefault="0091776D" w:rsidP="0091776D">
      <w:r>
        <w:t>Anket sonuçları sayısal olarak incelendiğinde, toplam 22 oyun 13 adedinin en yüksek puan olan 5 seviyesinde, 7 adedinin ise 4 seviyesinde kümelendiği görülmektedir. Geriye kalan 2 oyun ise 3 ve 2 puan olarak dağılım göstermiş olup, bu genel dağılım katılımcı memnuniyetinin ağırlıklı olarak yüksek puan dilimlerinde toplandığı dengeli bir tabloyu ortaya koymaktadır.</w:t>
      </w:r>
    </w:p>
    <w:p w:rsidR="0091776D" w:rsidRPr="0091776D" w:rsidRDefault="0091776D" w:rsidP="0091776D">
      <w:pPr>
        <w:rPr>
          <w:b/>
        </w:rPr>
      </w:pPr>
    </w:p>
    <w:p w:rsidR="00780F30" w:rsidRPr="0027053D" w:rsidRDefault="00780F30" w:rsidP="00780F30">
      <w:pPr>
        <w:pStyle w:val="ListeParagraf"/>
        <w:numPr>
          <w:ilvl w:val="0"/>
          <w:numId w:val="2"/>
        </w:numPr>
        <w:rPr>
          <w:b/>
        </w:rPr>
      </w:pPr>
      <w:r w:rsidRPr="0027053D">
        <w:rPr>
          <w:b/>
        </w:rPr>
        <w:lastRenderedPageBreak/>
        <w:t>Etkinlik İçeriği Beklentileri Karşıladı Mı?</w:t>
      </w:r>
    </w:p>
    <w:p w:rsidR="00780F30" w:rsidRDefault="00780F30" w:rsidP="00780F30">
      <w:pPr>
        <w:pStyle w:val="ListeParagraf"/>
        <w:ind w:left="993"/>
      </w:pPr>
      <w:r>
        <w:rPr>
          <w:noProof/>
          <w:lang w:eastAsia="tr-TR"/>
        </w:rPr>
        <w:drawing>
          <wp:inline distT="0" distB="0" distL="0" distR="0" wp14:anchorId="0B8BBF96" wp14:editId="275647EB">
            <wp:extent cx="4587667" cy="2689413"/>
            <wp:effectExtent l="0" t="0" r="3810" b="15875"/>
            <wp:docPr id="2" name="Grafik 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80F30" w:rsidRDefault="00780F30" w:rsidP="00780F30">
      <w:pPr>
        <w:pStyle w:val="ListeParagraf"/>
        <w:ind w:left="993"/>
      </w:pPr>
    </w:p>
    <w:p w:rsidR="00780F30" w:rsidRDefault="0027053D" w:rsidP="00780F30">
      <w:pPr>
        <w:pStyle w:val="ListeParagraf"/>
        <w:ind w:left="993"/>
      </w:pPr>
      <w:r>
        <w:t xml:space="preserve">Anket sonuçları incelendiğinde, katılımcı oylarının 3 tam puan üzerinden ağırlıklı olarak en yüksek seviye olan 3 puanda yoğunlaştığı ve </w:t>
      </w:r>
      <w:r w:rsidR="00635F8C">
        <w:t>etkinliğin içeriğine uygunluk seviyesi</w:t>
      </w:r>
      <w:r>
        <w:t xml:space="preserve"> oldukça yüksek bir düzeyde seyrettiği görülmektedir. Maksimum puanların bu denli baskın bir grafik çizmesi, gerçekleştirilen çalışmanın hedefine tam anlamıyla ulaştığını ve katılımcılardan tam not alarak başarılı bir performans sergilediğini açıkça ortaya koymaktadır.</w:t>
      </w: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Etkinliğin Konu Başlığı İlgi Çekiciydi.</w:t>
      </w:r>
    </w:p>
    <w:p w:rsidR="00780F30" w:rsidRDefault="00780F30" w:rsidP="00780F30">
      <w:pPr>
        <w:pStyle w:val="ListeParagraf"/>
        <w:ind w:left="993"/>
      </w:pPr>
    </w:p>
    <w:p w:rsidR="00780F30" w:rsidRDefault="0091776D" w:rsidP="00780F30">
      <w:pPr>
        <w:pStyle w:val="ListeParagraf"/>
        <w:ind w:left="993"/>
      </w:pPr>
      <w:r>
        <w:rPr>
          <w:noProof/>
          <w:lang w:eastAsia="tr-TR"/>
        </w:rPr>
        <w:drawing>
          <wp:inline distT="0" distB="0" distL="0" distR="0" wp14:anchorId="3A1DE6C4" wp14:editId="2167D558">
            <wp:extent cx="4589033" cy="2689412"/>
            <wp:effectExtent l="0" t="0" r="2540" b="15875"/>
            <wp:docPr id="10" name="Grafik 10">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0F30" w:rsidRDefault="00780F30" w:rsidP="00780F30">
      <w:pPr>
        <w:pStyle w:val="ListeParagraf"/>
        <w:ind w:left="993"/>
      </w:pPr>
    </w:p>
    <w:p w:rsidR="00780F30" w:rsidRDefault="0091776D" w:rsidP="0091776D">
      <w:r>
        <w:t xml:space="preserve">Verilen toplam 22 oyun sayısal dağılımı incelendiğinde; 14 adet 5 puan, 4 adet 4 puan ve 4 adet 3 puan verildiği görülmektedir. Katılımcıların </w:t>
      </w:r>
      <w:proofErr w:type="gramStart"/>
      <w:r>
        <w:t>nötr</w:t>
      </w:r>
      <w:proofErr w:type="gramEnd"/>
      <w:r>
        <w:t xml:space="preserve"> veya olumsuz herhangi bir düşük puan vermemesi, konu başlığının genel olarak beklentileri karşıladığını ve hedef kitlenin ilgisini çekmede başarılı olduğunu sayısal verilerle ortaya koymaktadır.</w:t>
      </w:r>
    </w:p>
    <w:p w:rsidR="00780F30" w:rsidRPr="0027053D" w:rsidRDefault="00780F30" w:rsidP="00780F30">
      <w:pPr>
        <w:pStyle w:val="ListeParagraf"/>
        <w:numPr>
          <w:ilvl w:val="0"/>
          <w:numId w:val="2"/>
        </w:numPr>
        <w:rPr>
          <w:b/>
        </w:rPr>
      </w:pPr>
      <w:r w:rsidRPr="0027053D">
        <w:rPr>
          <w:b/>
        </w:rPr>
        <w:t>Konuşmacı / Konuşmacılar Alanında Yetkindi.</w:t>
      </w:r>
    </w:p>
    <w:p w:rsidR="00780F30" w:rsidRDefault="0091776D" w:rsidP="00780F30">
      <w:pPr>
        <w:pStyle w:val="ListeParagraf"/>
        <w:ind w:left="993"/>
      </w:pPr>
      <w:r>
        <w:rPr>
          <w:noProof/>
          <w:lang w:eastAsia="tr-TR"/>
        </w:rPr>
        <w:drawing>
          <wp:inline distT="0" distB="0" distL="0" distR="0" wp14:anchorId="4EDDBAA0" wp14:editId="0970EC54">
            <wp:extent cx="4593190" cy="2738310"/>
            <wp:effectExtent l="0" t="0" r="17145" b="5080"/>
            <wp:docPr id="11" name="Grafik 1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776D" w:rsidRDefault="0091776D" w:rsidP="0091776D">
      <w:pPr>
        <w:pStyle w:val="ListeParagraf"/>
        <w:ind w:left="993"/>
      </w:pPr>
      <w:r>
        <w:t>"Konuşmacı alanında yetkindi" ifadesine yönelik verilen toplam 22 oyun sayısal dağılımı incelendiğinde; 20 adet 5 tam puan ve 2 adet 4 puan verildiği tespit edilmiştir. Katılımcıların 3 ve daha altında herhangi bir puan vermemesi, konuşmacının yetkinliği konusunda hedef kitlenin çok büyük bir sayısal çoğunlukla tam bir mutabakat ve memnuniyet sağladığını açıkça göstermektedir.</w:t>
      </w:r>
    </w:p>
    <w:p w:rsidR="00780F30" w:rsidRDefault="00780F30" w:rsidP="00780F30">
      <w:pPr>
        <w:pStyle w:val="ListeParagraf"/>
        <w:ind w:left="993"/>
      </w:pPr>
    </w:p>
    <w:p w:rsidR="00780F30" w:rsidRPr="0027053D" w:rsidRDefault="00780F30" w:rsidP="00780F30">
      <w:pPr>
        <w:pStyle w:val="ListeParagraf"/>
        <w:numPr>
          <w:ilvl w:val="0"/>
          <w:numId w:val="2"/>
        </w:numPr>
        <w:rPr>
          <w:b/>
        </w:rPr>
      </w:pPr>
      <w:r w:rsidRPr="0027053D">
        <w:rPr>
          <w:b/>
        </w:rPr>
        <w:t>Sunum Dili ve Anlatımı Anlaşılırdı</w:t>
      </w:r>
    </w:p>
    <w:p w:rsidR="00780F30" w:rsidRDefault="0091776D" w:rsidP="00780F30">
      <w:r>
        <w:rPr>
          <w:noProof/>
          <w:lang w:eastAsia="tr-TR"/>
        </w:rPr>
        <w:drawing>
          <wp:inline distT="0" distB="0" distL="0" distR="0" wp14:anchorId="40DDB9D9" wp14:editId="6C1E7E60">
            <wp:extent cx="4600253" cy="2730161"/>
            <wp:effectExtent l="0" t="0" r="10160" b="13335"/>
            <wp:docPr id="12" name="Grafik 12">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776D" w:rsidRDefault="0091776D" w:rsidP="0091776D">
      <w:r>
        <w:t xml:space="preserve">"Sunum dili ve anlatım anlaşılırdı" ifadesine yönelik verilen toplam 22 oyun sayısal dağılımı incelendiğinde; 14 adet 4 puan, 4 adet 5 puan ve 4 adet 3 puan verildiği görülmektedir. Katılımcıların </w:t>
      </w:r>
      <w:r>
        <w:lastRenderedPageBreak/>
        <w:t>tamamının 3 ve üzerinde puan tercih etmesi, sunumun dil ve anlatım yönünden anlaşılır bulunduğunu, sayısal ağırlığın ise çoğunlukla 4 puan seviyesinde dengelendiğini göstermektedir.</w:t>
      </w:r>
    </w:p>
    <w:p w:rsidR="00780F30" w:rsidRPr="0091776D" w:rsidRDefault="00780F30" w:rsidP="0091776D">
      <w:pPr>
        <w:pStyle w:val="ListeParagraf"/>
        <w:numPr>
          <w:ilvl w:val="0"/>
          <w:numId w:val="2"/>
        </w:numPr>
        <w:rPr>
          <w:b/>
        </w:rPr>
      </w:pPr>
      <w:r w:rsidRPr="0091776D">
        <w:rPr>
          <w:b/>
        </w:rPr>
        <w:t>Etkinlik Süresi ve Akışı Uygundu.</w:t>
      </w:r>
    </w:p>
    <w:p w:rsidR="00780F30" w:rsidRDefault="00780F30" w:rsidP="00780F30">
      <w:pPr>
        <w:pStyle w:val="ListeParagraf"/>
        <w:ind w:left="993"/>
      </w:pPr>
    </w:p>
    <w:p w:rsidR="00780F30" w:rsidRDefault="0091776D" w:rsidP="00780F30">
      <w:pPr>
        <w:pStyle w:val="ListeParagraf"/>
        <w:ind w:left="993"/>
      </w:pPr>
      <w:r>
        <w:rPr>
          <w:noProof/>
          <w:lang w:eastAsia="tr-TR"/>
        </w:rPr>
        <w:drawing>
          <wp:inline distT="0" distB="0" distL="0" distR="0" wp14:anchorId="1D300B0B" wp14:editId="52640F8D">
            <wp:extent cx="4593190" cy="2730160"/>
            <wp:effectExtent l="0" t="0" r="17145" b="13335"/>
            <wp:docPr id="13" name="Grafik 13">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0F30" w:rsidRDefault="00780F30" w:rsidP="00780F30">
      <w:pPr>
        <w:pStyle w:val="ListeParagraf"/>
        <w:ind w:left="993"/>
      </w:pPr>
    </w:p>
    <w:p w:rsidR="00780F30" w:rsidRDefault="0091776D" w:rsidP="00780F30">
      <w:pPr>
        <w:pStyle w:val="ListeParagraf"/>
        <w:ind w:left="993"/>
      </w:pPr>
      <w:r>
        <w:t>"Etkinlik süresi ve akışı uygundu" ifadesine yönelik verilen toplam 22 oyun sayısal dağılımı incelendiğinde; 14 adet 5 tam puan, 6 adet 4 puan, 1 adet 3 puan ve 1 adet 2 puan verildiği tespit edilmiştir. Katılımcı oylarının %90'ından fazlasının 5 ve 4 yüksek puanlarında yoğunlaşması, etkinliğin zaman yönetimi ve akış planlamasının sayısal anlamda büyük bir başarıyla kabul gördüğünü ortaya koymaktadır.</w:t>
      </w:r>
    </w:p>
    <w:p w:rsidR="00780F30" w:rsidRDefault="00780F30" w:rsidP="00780F30">
      <w:pPr>
        <w:pStyle w:val="ListeParagraf"/>
        <w:ind w:left="993"/>
      </w:pPr>
    </w:p>
    <w:p w:rsidR="00780F30" w:rsidRDefault="00780F30" w:rsidP="0027053D"/>
    <w:p w:rsidR="00780F30" w:rsidRPr="0027053D" w:rsidRDefault="00780F30" w:rsidP="00780F30">
      <w:pPr>
        <w:pStyle w:val="ListeParagraf"/>
        <w:numPr>
          <w:ilvl w:val="0"/>
          <w:numId w:val="2"/>
        </w:numPr>
        <w:rPr>
          <w:b/>
        </w:rPr>
      </w:pPr>
      <w:r w:rsidRPr="0027053D">
        <w:rPr>
          <w:b/>
        </w:rPr>
        <w:t>Etkinlik Kariyer Planlamama Katkı Sağladı</w:t>
      </w:r>
    </w:p>
    <w:p w:rsidR="00780F30" w:rsidRDefault="0091776D" w:rsidP="00780F30">
      <w:pPr>
        <w:pStyle w:val="ListeParagraf"/>
        <w:ind w:left="993"/>
      </w:pPr>
      <w:r>
        <w:rPr>
          <w:noProof/>
          <w:lang w:eastAsia="tr-TR"/>
        </w:rPr>
        <w:drawing>
          <wp:inline distT="0" distB="0" distL="0" distR="0" wp14:anchorId="2124A9D7" wp14:editId="3B25C4DE">
            <wp:extent cx="4600253" cy="2738310"/>
            <wp:effectExtent l="0" t="0" r="10160" b="5080"/>
            <wp:docPr id="14" name="Grafik 14">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0F30" w:rsidRDefault="00780F30" w:rsidP="00780F30">
      <w:pPr>
        <w:pStyle w:val="ListeParagraf"/>
        <w:ind w:left="993"/>
      </w:pPr>
    </w:p>
    <w:p w:rsidR="00780F30" w:rsidRDefault="00CE4AD5" w:rsidP="00780F30">
      <w:pPr>
        <w:pStyle w:val="ListeParagraf"/>
        <w:ind w:left="993"/>
      </w:pPr>
      <w:r>
        <w:t xml:space="preserve">"Etkinlik kariyer planlamama katkı sağladı" ifadesine yönelik verilen toplam 22 oyun sayısal dağılımı incelendiğinde; 13 adet 5 tam puan, 7 adet 3 puan ve 2 adet 2 puan </w:t>
      </w:r>
      <w:r>
        <w:lastRenderedPageBreak/>
        <w:t>verildiği görülmektedir. Katılımcı oylarının yarısından fazlasının en yüksek basamak olan 5 puanda yoğunlaşması, etkinliğin kariyer planlaması açısından hedef kitlede sayısal olarak baskın bir memnuniyet oluşturduğunu göstermektedir.</w:t>
      </w:r>
    </w:p>
    <w:p w:rsidR="00780F30" w:rsidRPr="0027053D" w:rsidRDefault="00780F30" w:rsidP="00780F30">
      <w:pPr>
        <w:pStyle w:val="ListeParagraf"/>
        <w:numPr>
          <w:ilvl w:val="0"/>
          <w:numId w:val="2"/>
        </w:numPr>
        <w:rPr>
          <w:b/>
        </w:rPr>
      </w:pPr>
      <w:r w:rsidRPr="0027053D">
        <w:rPr>
          <w:b/>
        </w:rPr>
        <w:t>Etkinlik Sonunda Yeni Bilgiler ve Bakış Açıları Kazandım</w:t>
      </w:r>
    </w:p>
    <w:p w:rsidR="00780F30" w:rsidRDefault="00780F30" w:rsidP="00780F30">
      <w:pPr>
        <w:pStyle w:val="ListeParagraf"/>
        <w:ind w:left="993"/>
      </w:pPr>
    </w:p>
    <w:p w:rsidR="00780F30" w:rsidRDefault="0091776D" w:rsidP="00780F30">
      <w:pPr>
        <w:pStyle w:val="ListeParagraf"/>
        <w:ind w:left="993"/>
      </w:pPr>
      <w:r>
        <w:rPr>
          <w:noProof/>
          <w:lang w:eastAsia="tr-TR"/>
        </w:rPr>
        <w:drawing>
          <wp:inline distT="0" distB="0" distL="0" distR="0" wp14:anchorId="4E588C5F" wp14:editId="52B0CAF8">
            <wp:extent cx="4600253" cy="2730976"/>
            <wp:effectExtent l="0" t="0" r="10160" b="12700"/>
            <wp:docPr id="15" name="Grafik 15">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0F30" w:rsidRDefault="00780F30" w:rsidP="00780F30">
      <w:pPr>
        <w:pStyle w:val="ListeParagraf"/>
        <w:ind w:left="993"/>
      </w:pPr>
    </w:p>
    <w:p w:rsidR="00780F30" w:rsidRDefault="00CE4AD5" w:rsidP="00780F30">
      <w:pPr>
        <w:pStyle w:val="ListeParagraf"/>
        <w:ind w:left="993"/>
      </w:pPr>
      <w:r>
        <w:t>"Etkinlik sonunda yeni bakış açıları kazandım" ifadesine yönelik sunulan toplam 22 oyun sayısal dağılımı incelendiğinde; 10 adet 5 tam puan ve 10 adet 4 puan ile dengeli bir kümelenme oluştuğu görülmektedir. Geriye kalan 2 oyun ise 3 ve 2 puan olarak şekillenmiş olup, sayısal verilerin ezici bir çoğunlukla yüksek puan dilimlerinde yer alması etkinliğin katılımcılara yeni perspektifler kazandırma noktasında net bir başarı yakaladığını göstermektedir.</w:t>
      </w:r>
    </w:p>
    <w:p w:rsidR="00780F30" w:rsidRPr="0027053D" w:rsidRDefault="00780F30" w:rsidP="00780F30">
      <w:pPr>
        <w:pStyle w:val="ListeParagraf"/>
        <w:numPr>
          <w:ilvl w:val="0"/>
          <w:numId w:val="2"/>
        </w:numPr>
        <w:rPr>
          <w:b/>
        </w:rPr>
      </w:pPr>
      <w:r w:rsidRPr="0027053D">
        <w:rPr>
          <w:b/>
        </w:rPr>
        <w:t>Bu Etkinliği Diğer Öğrencilere Tavsiye Eder Misiniz?</w:t>
      </w:r>
    </w:p>
    <w:p w:rsidR="00780F30" w:rsidRDefault="00780F30" w:rsidP="00780F30">
      <w:pPr>
        <w:pStyle w:val="ListeParagraf"/>
        <w:ind w:left="993"/>
      </w:pPr>
    </w:p>
    <w:p w:rsidR="00780F30" w:rsidRDefault="0091776D" w:rsidP="00780F30">
      <w:pPr>
        <w:pStyle w:val="ListeParagraf"/>
        <w:ind w:left="993"/>
      </w:pPr>
      <w:r>
        <w:rPr>
          <w:noProof/>
          <w:lang w:eastAsia="tr-TR"/>
        </w:rPr>
        <w:drawing>
          <wp:inline distT="0" distB="0" distL="0" distR="0" wp14:anchorId="79416A7A" wp14:editId="4F6F977D">
            <wp:extent cx="4593190" cy="2730160"/>
            <wp:effectExtent l="0" t="0" r="17145" b="13335"/>
            <wp:docPr id="16" name="Grafik 16">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053D" w:rsidRDefault="00CE4AD5" w:rsidP="00CE4AD5">
      <w:pPr>
        <w:pStyle w:val="ListeParagraf"/>
        <w:ind w:left="993"/>
      </w:pPr>
      <w:r>
        <w:t xml:space="preserve">"Etkinliği diğer öğrencilere tavsiye ederim" ifadesine yönelik verilen toplam 22 oyun sayısal dağılımı incelendiğinde; 18 adet 3 tam puan, 3 adet 2 puan ve 1 adet 1 puan verildiği görülmektedir. Katılımcı oylarının %81'inden fazlasının en yüksek seviye olan 3 </w:t>
      </w:r>
      <w:r>
        <w:lastRenderedPageBreak/>
        <w:t>puanda yoğunlaşması, etkinliğin öğrenciler arasında sayısal olarak çok güçlü bir tavsiye ve referans değerine ulaştığını net bir şekilde ortaya koymaktadır.</w:t>
      </w:r>
    </w:p>
    <w:sectPr w:rsidR="00270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254"/>
    <w:multiLevelType w:val="multilevel"/>
    <w:tmpl w:val="046B22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A027760"/>
    <w:multiLevelType w:val="hybridMultilevel"/>
    <w:tmpl w:val="53485D0E"/>
    <w:lvl w:ilvl="0" w:tplc="72802A34">
      <w:start w:val="1"/>
      <w:numFmt w:val="decimal"/>
      <w:lvlText w:val="%1-"/>
      <w:lvlJc w:val="left"/>
      <w:pPr>
        <w:ind w:left="993" w:hanging="360"/>
      </w:pPr>
      <w:rPr>
        <w:rFonts w:hint="default"/>
      </w:rPr>
    </w:lvl>
    <w:lvl w:ilvl="1" w:tplc="041F0019" w:tentative="1">
      <w:start w:val="1"/>
      <w:numFmt w:val="lowerLetter"/>
      <w:lvlText w:val="%2."/>
      <w:lvlJc w:val="left"/>
      <w:pPr>
        <w:ind w:left="1713" w:hanging="360"/>
      </w:pPr>
    </w:lvl>
    <w:lvl w:ilvl="2" w:tplc="041F001B" w:tentative="1">
      <w:start w:val="1"/>
      <w:numFmt w:val="lowerRoman"/>
      <w:lvlText w:val="%3."/>
      <w:lvlJc w:val="right"/>
      <w:pPr>
        <w:ind w:left="2433" w:hanging="180"/>
      </w:pPr>
    </w:lvl>
    <w:lvl w:ilvl="3" w:tplc="041F000F" w:tentative="1">
      <w:start w:val="1"/>
      <w:numFmt w:val="decimal"/>
      <w:lvlText w:val="%4."/>
      <w:lvlJc w:val="left"/>
      <w:pPr>
        <w:ind w:left="3153" w:hanging="360"/>
      </w:pPr>
    </w:lvl>
    <w:lvl w:ilvl="4" w:tplc="041F0019" w:tentative="1">
      <w:start w:val="1"/>
      <w:numFmt w:val="lowerLetter"/>
      <w:lvlText w:val="%5."/>
      <w:lvlJc w:val="left"/>
      <w:pPr>
        <w:ind w:left="3873" w:hanging="360"/>
      </w:pPr>
    </w:lvl>
    <w:lvl w:ilvl="5" w:tplc="041F001B" w:tentative="1">
      <w:start w:val="1"/>
      <w:numFmt w:val="lowerRoman"/>
      <w:lvlText w:val="%6."/>
      <w:lvlJc w:val="right"/>
      <w:pPr>
        <w:ind w:left="4593" w:hanging="180"/>
      </w:pPr>
    </w:lvl>
    <w:lvl w:ilvl="6" w:tplc="041F000F" w:tentative="1">
      <w:start w:val="1"/>
      <w:numFmt w:val="decimal"/>
      <w:lvlText w:val="%7."/>
      <w:lvlJc w:val="left"/>
      <w:pPr>
        <w:ind w:left="5313" w:hanging="360"/>
      </w:pPr>
    </w:lvl>
    <w:lvl w:ilvl="7" w:tplc="041F0019" w:tentative="1">
      <w:start w:val="1"/>
      <w:numFmt w:val="lowerLetter"/>
      <w:lvlText w:val="%8."/>
      <w:lvlJc w:val="left"/>
      <w:pPr>
        <w:ind w:left="6033" w:hanging="360"/>
      </w:pPr>
    </w:lvl>
    <w:lvl w:ilvl="8" w:tplc="041F001B" w:tentative="1">
      <w:start w:val="1"/>
      <w:numFmt w:val="lowerRoman"/>
      <w:lvlText w:val="%9."/>
      <w:lvlJc w:val="right"/>
      <w:pPr>
        <w:ind w:left="67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15"/>
    <w:rsid w:val="000B3DD2"/>
    <w:rsid w:val="0027053D"/>
    <w:rsid w:val="00390719"/>
    <w:rsid w:val="00635F8C"/>
    <w:rsid w:val="00780F30"/>
    <w:rsid w:val="008E11DC"/>
    <w:rsid w:val="0091776D"/>
    <w:rsid w:val="00A84EE5"/>
    <w:rsid w:val="00BE4215"/>
    <w:rsid w:val="00C81158"/>
    <w:rsid w:val="00CE4AD5"/>
    <w:rsid w:val="00D25901"/>
    <w:rsid w:val="00DD261A"/>
    <w:rsid w:val="00EB0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EB4E"/>
  <w15:chartTrackingRefBased/>
  <w15:docId w15:val="{44219384-C6E9-4736-9A44-BC401A3A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11DC"/>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8E11DC"/>
    <w:rPr>
      <w:rFonts w:ascii="Microsoft Sans Serif" w:eastAsia="Microsoft Sans Serif" w:hAnsi="Microsoft Sans Serif" w:cs="Microsoft Sans Serif"/>
    </w:rPr>
  </w:style>
  <w:style w:type="paragraph" w:styleId="KonuBal">
    <w:name w:val="Title"/>
    <w:basedOn w:val="Normal"/>
    <w:link w:val="KonuBalChar"/>
    <w:uiPriority w:val="1"/>
    <w:qFormat/>
    <w:rsid w:val="008E11DC"/>
    <w:pPr>
      <w:widowControl w:val="0"/>
      <w:autoSpaceDE w:val="0"/>
      <w:autoSpaceDN w:val="0"/>
      <w:spacing w:before="60" w:after="0" w:line="240" w:lineRule="auto"/>
      <w:ind w:left="4055" w:hanging="2834"/>
    </w:pPr>
    <w:rPr>
      <w:rFonts w:ascii="Arial" w:eastAsia="Arial" w:hAnsi="Arial" w:cs="Arial"/>
      <w:b/>
      <w:bCs/>
      <w:sz w:val="30"/>
      <w:szCs w:val="30"/>
    </w:rPr>
  </w:style>
  <w:style w:type="character" w:customStyle="1" w:styleId="KonuBalChar">
    <w:name w:val="Konu Başlığı Char"/>
    <w:basedOn w:val="VarsaylanParagrafYazTipi"/>
    <w:link w:val="KonuBal"/>
    <w:uiPriority w:val="1"/>
    <w:rsid w:val="008E11DC"/>
    <w:rPr>
      <w:rFonts w:ascii="Arial" w:eastAsia="Arial" w:hAnsi="Arial" w:cs="Arial"/>
      <w:b/>
      <w:bCs/>
      <w:sz w:val="30"/>
      <w:szCs w:val="30"/>
    </w:rPr>
  </w:style>
  <w:style w:type="paragraph" w:styleId="ListeParagraf">
    <w:name w:val="List Paragraph"/>
    <w:basedOn w:val="Normal"/>
    <w:uiPriority w:val="34"/>
    <w:qFormat/>
    <w:rsid w:val="0078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11147">
      <w:bodyDiv w:val="1"/>
      <w:marLeft w:val="0"/>
      <w:marRight w:val="0"/>
      <w:marTop w:val="0"/>
      <w:marBottom w:val="0"/>
      <w:divBdr>
        <w:top w:val="none" w:sz="0" w:space="0" w:color="auto"/>
        <w:left w:val="none" w:sz="0" w:space="0" w:color="auto"/>
        <w:bottom w:val="none" w:sz="0" w:space="0" w:color="auto"/>
        <w:right w:val="none" w:sz="0" w:space="0" w:color="auto"/>
      </w:divBdr>
    </w:div>
    <w:div w:id="712971764">
      <w:bodyDiv w:val="1"/>
      <w:marLeft w:val="0"/>
      <w:marRight w:val="0"/>
      <w:marTop w:val="0"/>
      <w:marBottom w:val="0"/>
      <w:divBdr>
        <w:top w:val="none" w:sz="0" w:space="0" w:color="auto"/>
        <w:left w:val="none" w:sz="0" w:space="0" w:color="auto"/>
        <w:bottom w:val="none" w:sz="0" w:space="0" w:color="auto"/>
        <w:right w:val="none" w:sz="0" w:space="0" w:color="auto"/>
      </w:divBdr>
    </w:div>
    <w:div w:id="920943497">
      <w:bodyDiv w:val="1"/>
      <w:marLeft w:val="0"/>
      <w:marRight w:val="0"/>
      <w:marTop w:val="0"/>
      <w:marBottom w:val="0"/>
      <w:divBdr>
        <w:top w:val="none" w:sz="0" w:space="0" w:color="auto"/>
        <w:left w:val="none" w:sz="0" w:space="0" w:color="auto"/>
        <w:bottom w:val="none" w:sz="0" w:space="0" w:color="auto"/>
        <w:right w:val="none" w:sz="0" w:space="0" w:color="auto"/>
      </w:divBdr>
    </w:div>
    <w:div w:id="997150526">
      <w:bodyDiv w:val="1"/>
      <w:marLeft w:val="0"/>
      <w:marRight w:val="0"/>
      <w:marTop w:val="0"/>
      <w:marBottom w:val="0"/>
      <w:divBdr>
        <w:top w:val="none" w:sz="0" w:space="0" w:color="auto"/>
        <w:left w:val="none" w:sz="0" w:space="0" w:color="auto"/>
        <w:bottom w:val="none" w:sz="0" w:space="0" w:color="auto"/>
        <w:right w:val="none" w:sz="0" w:space="0" w:color="auto"/>
      </w:divBdr>
    </w:div>
    <w:div w:id="1287195409">
      <w:bodyDiv w:val="1"/>
      <w:marLeft w:val="0"/>
      <w:marRight w:val="0"/>
      <w:marTop w:val="0"/>
      <w:marBottom w:val="0"/>
      <w:divBdr>
        <w:top w:val="none" w:sz="0" w:space="0" w:color="auto"/>
        <w:left w:val="none" w:sz="0" w:space="0" w:color="auto"/>
        <w:bottom w:val="none" w:sz="0" w:space="0" w:color="auto"/>
        <w:right w:val="none" w:sz="0" w:space="0" w:color="auto"/>
      </w:divBdr>
      <w:divsChild>
        <w:div w:id="867332425">
          <w:marLeft w:val="0"/>
          <w:marRight w:val="0"/>
          <w:marTop w:val="0"/>
          <w:marBottom w:val="0"/>
          <w:divBdr>
            <w:top w:val="none" w:sz="0" w:space="0" w:color="auto"/>
            <w:left w:val="none" w:sz="0" w:space="0" w:color="auto"/>
            <w:bottom w:val="none" w:sz="0" w:space="0" w:color="auto"/>
            <w:right w:val="none" w:sz="0" w:space="0" w:color="auto"/>
          </w:divBdr>
        </w:div>
        <w:div w:id="577710592">
          <w:marLeft w:val="0"/>
          <w:marRight w:val="0"/>
          <w:marTop w:val="0"/>
          <w:marBottom w:val="0"/>
          <w:divBdr>
            <w:top w:val="none" w:sz="0" w:space="0" w:color="auto"/>
            <w:left w:val="none" w:sz="0" w:space="0" w:color="auto"/>
            <w:bottom w:val="none" w:sz="0" w:space="0" w:color="auto"/>
            <w:right w:val="none" w:sz="0" w:space="0" w:color="auto"/>
          </w:divBdr>
        </w:div>
        <w:div w:id="1649280322">
          <w:marLeft w:val="0"/>
          <w:marRight w:val="0"/>
          <w:marTop w:val="0"/>
          <w:marBottom w:val="0"/>
          <w:divBdr>
            <w:top w:val="none" w:sz="0" w:space="0" w:color="auto"/>
            <w:left w:val="none" w:sz="0" w:space="0" w:color="auto"/>
            <w:bottom w:val="none" w:sz="0" w:space="0" w:color="auto"/>
            <w:right w:val="none" w:sz="0" w:space="0" w:color="auto"/>
          </w:divBdr>
        </w:div>
        <w:div w:id="918058574">
          <w:marLeft w:val="0"/>
          <w:marRight w:val="0"/>
          <w:marTop w:val="0"/>
          <w:marBottom w:val="0"/>
          <w:divBdr>
            <w:top w:val="none" w:sz="0" w:space="0" w:color="auto"/>
            <w:left w:val="none" w:sz="0" w:space="0" w:color="auto"/>
            <w:bottom w:val="none" w:sz="0" w:space="0" w:color="auto"/>
            <w:right w:val="none" w:sz="0" w:space="0" w:color="auto"/>
          </w:divBdr>
        </w:div>
        <w:div w:id="1211376839">
          <w:marLeft w:val="0"/>
          <w:marRight w:val="0"/>
          <w:marTop w:val="0"/>
          <w:marBottom w:val="0"/>
          <w:divBdr>
            <w:top w:val="none" w:sz="0" w:space="0" w:color="auto"/>
            <w:left w:val="none" w:sz="0" w:space="0" w:color="auto"/>
            <w:bottom w:val="none" w:sz="0" w:space="0" w:color="auto"/>
            <w:right w:val="none" w:sz="0" w:space="0" w:color="auto"/>
          </w:divBdr>
        </w:div>
        <w:div w:id="1741369070">
          <w:marLeft w:val="0"/>
          <w:marRight w:val="0"/>
          <w:marTop w:val="0"/>
          <w:marBottom w:val="0"/>
          <w:divBdr>
            <w:top w:val="none" w:sz="0" w:space="0" w:color="auto"/>
            <w:left w:val="none" w:sz="0" w:space="0" w:color="auto"/>
            <w:bottom w:val="none" w:sz="0" w:space="0" w:color="auto"/>
            <w:right w:val="none" w:sz="0" w:space="0" w:color="auto"/>
          </w:divBdr>
        </w:div>
        <w:div w:id="68113489">
          <w:marLeft w:val="0"/>
          <w:marRight w:val="0"/>
          <w:marTop w:val="0"/>
          <w:marBottom w:val="0"/>
          <w:divBdr>
            <w:top w:val="none" w:sz="0" w:space="0" w:color="auto"/>
            <w:left w:val="none" w:sz="0" w:space="0" w:color="auto"/>
            <w:bottom w:val="none" w:sz="0" w:space="0" w:color="auto"/>
            <w:right w:val="none" w:sz="0" w:space="0" w:color="auto"/>
          </w:divBdr>
        </w:div>
        <w:div w:id="1275164515">
          <w:marLeft w:val="0"/>
          <w:marRight w:val="0"/>
          <w:marTop w:val="0"/>
          <w:marBottom w:val="0"/>
          <w:divBdr>
            <w:top w:val="none" w:sz="0" w:space="0" w:color="auto"/>
            <w:left w:val="none" w:sz="0" w:space="0" w:color="auto"/>
            <w:bottom w:val="none" w:sz="0" w:space="0" w:color="auto"/>
            <w:right w:val="none" w:sz="0" w:space="0" w:color="auto"/>
          </w:divBdr>
        </w:div>
        <w:div w:id="1296180990">
          <w:marLeft w:val="0"/>
          <w:marRight w:val="0"/>
          <w:marTop w:val="0"/>
          <w:marBottom w:val="0"/>
          <w:divBdr>
            <w:top w:val="none" w:sz="0" w:space="0" w:color="auto"/>
            <w:left w:val="none" w:sz="0" w:space="0" w:color="auto"/>
            <w:bottom w:val="none" w:sz="0" w:space="0" w:color="auto"/>
            <w:right w:val="none" w:sz="0" w:space="0" w:color="auto"/>
          </w:divBdr>
        </w:div>
        <w:div w:id="2134981898">
          <w:marLeft w:val="0"/>
          <w:marRight w:val="0"/>
          <w:marTop w:val="0"/>
          <w:marBottom w:val="0"/>
          <w:divBdr>
            <w:top w:val="none" w:sz="0" w:space="0" w:color="auto"/>
            <w:left w:val="none" w:sz="0" w:space="0" w:color="auto"/>
            <w:bottom w:val="none" w:sz="0" w:space="0" w:color="auto"/>
            <w:right w:val="none" w:sz="0" w:space="0" w:color="auto"/>
          </w:divBdr>
        </w:div>
      </w:divsChild>
    </w:div>
    <w:div w:id="19802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I33DFSL\Desktop\&#350;ablonlar\faaliyet%20de&#287;erlendirme%20anket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Etkinliğin genel memnuniyet düzeyini değerlendiriniz.</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1995-420D-B808-A175E8176E24}"/>
              </c:ext>
            </c:extLst>
          </c:dPt>
          <c:dPt>
            <c:idx val="1"/>
            <c:bubble3D val="0"/>
            <c:spPr>
              <a:solidFill>
                <a:srgbClr val="33CCCC"/>
              </a:solidFill>
              <a:ln>
                <a:noFill/>
              </a:ln>
              <a:effectLst/>
              <a:sp3d/>
            </c:spPr>
            <c:extLst>
              <c:ext xmlns:c16="http://schemas.microsoft.com/office/drawing/2014/chart" uri="{C3380CC4-5D6E-409C-BE32-E72D297353CC}">
                <c16:uniqueId val="{00000003-1995-420D-B808-A175E8176E24}"/>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1995-420D-B808-A175E8176E24}"/>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1995-420D-B808-A175E8176E24}"/>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1995-420D-B808-A175E8176E24}"/>
              </c:ext>
            </c:extLst>
          </c:dPt>
          <c:dLbls>
            <c:dLbl>
              <c:idx val="1"/>
              <c:layout>
                <c:manualLayout>
                  <c:x val="2.849524749976972E-2"/>
                  <c:y val="-1.24170095860898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95-420D-B808-A175E8176E24}"/>
                </c:ext>
              </c:extLst>
            </c:dLbl>
            <c:dLbl>
              <c:idx val="2"/>
              <c:layout>
                <c:manualLayout>
                  <c:x val="4.0083573108352991E-2"/>
                  <c:y val="-2.384488497279147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995-420D-B808-A175E8176E24}"/>
                </c:ext>
              </c:extLst>
            </c:dLbl>
            <c:dLbl>
              <c:idx val="3"/>
              <c:layout>
                <c:manualLayout>
                  <c:x val="7.9481872048104307E-2"/>
                  <c:y val="-5.14958820318049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95-420D-B808-A175E8176E24}"/>
                </c:ext>
              </c:extLst>
            </c:dLbl>
            <c:dLbl>
              <c:idx val="4"/>
              <c:layout>
                <c:manualLayout>
                  <c:x val="-5.5855792733103447E-2"/>
                  <c:y val="4.029034170624186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995-420D-B808-A175E8176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Sayfa1!$A$102:$A$106</c:f>
              <c:numCache>
                <c:formatCode>General</c:formatCode>
                <c:ptCount val="5"/>
                <c:pt idx="0">
                  <c:v>0</c:v>
                </c:pt>
                <c:pt idx="1">
                  <c:v>1</c:v>
                </c:pt>
                <c:pt idx="2">
                  <c:v>1</c:v>
                </c:pt>
                <c:pt idx="3">
                  <c:v>7</c:v>
                </c:pt>
                <c:pt idx="4">
                  <c:v>13</c:v>
                </c:pt>
              </c:numCache>
            </c:numRef>
          </c:val>
          <c:extLst>
            <c:ext xmlns:c16="http://schemas.microsoft.com/office/drawing/2014/chart" uri="{C3380CC4-5D6E-409C-BE32-E72D297353CC}">
              <c16:uniqueId val="{0000000A-1995-420D-B808-A175E8176E2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içeriği beklentilerinizi karşıladı mı?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78595821329742"/>
          <c:y val="0.26233085063543604"/>
          <c:w val="0.73899942172959232"/>
          <c:h val="0.50676411544080435"/>
        </c:manualLayout>
      </c:layout>
      <c:pie3DChart>
        <c:varyColors val="1"/>
        <c:ser>
          <c:idx val="0"/>
          <c:order val="0"/>
          <c:dPt>
            <c:idx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1-997E-4120-A811-40D76783DDC8}"/>
              </c:ext>
            </c:extLst>
          </c:dPt>
          <c:dPt>
            <c:idx val="1"/>
            <c:bubble3D val="0"/>
            <c:spPr>
              <a:solidFill>
                <a:schemeClr val="accent6">
                  <a:lumMod val="60000"/>
                  <a:lumOff val="40000"/>
                </a:schemeClr>
              </a:solidFill>
              <a:ln>
                <a:noFill/>
              </a:ln>
              <a:effectLst/>
              <a:sp3d/>
            </c:spPr>
            <c:extLst>
              <c:ext xmlns:c16="http://schemas.microsoft.com/office/drawing/2014/chart" uri="{C3380CC4-5D6E-409C-BE32-E72D297353CC}">
                <c16:uniqueId val="{00000003-997E-4120-A811-40D76783DDC8}"/>
              </c:ext>
            </c:extLst>
          </c:dPt>
          <c:dPt>
            <c:idx val="2"/>
            <c:bubble3D val="0"/>
            <c:spPr>
              <a:solidFill>
                <a:schemeClr val="accent1">
                  <a:lumMod val="75000"/>
                </a:schemeClr>
              </a:solidFill>
              <a:ln>
                <a:noFill/>
              </a:ln>
              <a:effectLst/>
              <a:sp3d/>
            </c:spPr>
            <c:extLst>
              <c:ext xmlns:c16="http://schemas.microsoft.com/office/drawing/2014/chart" uri="{C3380CC4-5D6E-409C-BE32-E72D297353CC}">
                <c16:uniqueId val="{00000005-997E-4120-A811-40D76783DDC8}"/>
              </c:ext>
            </c:extLst>
          </c:dPt>
          <c:dLbls>
            <c:dLbl>
              <c:idx val="0"/>
              <c:layout>
                <c:manualLayout>
                  <c:x val="2.8274055135883141E-2"/>
                  <c:y val="-2.409326035169284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7E-4120-A811-40D76783DDC8}"/>
                </c:ext>
              </c:extLst>
            </c:dLbl>
            <c:dLbl>
              <c:idx val="1"/>
              <c:layout>
                <c:manualLayout>
                  <c:x val="3.707752055763297E-2"/>
                  <c:y val="1.939157262373987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7E-4120-A811-40D76783DDC8}"/>
                </c:ext>
              </c:extLst>
            </c:dLbl>
            <c:dLbl>
              <c:idx val="2"/>
              <c:layout>
                <c:manualLayout>
                  <c:x val="-5.2569936395126284E-2"/>
                  <c:y val="-0.24601108666404711"/>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7E-4120-A811-40D76783DD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Sayfa1!$B$102:$B$104</c:f>
              <c:numCache>
                <c:formatCode>General</c:formatCode>
                <c:ptCount val="3"/>
                <c:pt idx="0">
                  <c:v>6</c:v>
                </c:pt>
                <c:pt idx="1">
                  <c:v>13</c:v>
                </c:pt>
                <c:pt idx="2">
                  <c:v>47</c:v>
                </c:pt>
              </c:numCache>
            </c:numRef>
          </c:val>
          <c:extLst>
            <c:ext xmlns:c16="http://schemas.microsoft.com/office/drawing/2014/chart" uri="{C3380CC4-5D6E-409C-BE32-E72D297353CC}">
              <c16:uniqueId val="{00000006-997E-4120-A811-40D76783DDC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Etkinliğin konu başlığı ilgi çekiciydi.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73052190491494"/>
          <c:y val="0.2576087263684404"/>
          <c:w val="0.75299318700071705"/>
          <c:h val="0.5162083756598097"/>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BDB5-4C66-84D0-AB7C6A748699}"/>
              </c:ext>
            </c:extLst>
          </c:dPt>
          <c:dPt>
            <c:idx val="1"/>
            <c:bubble3D val="0"/>
            <c:spPr>
              <a:solidFill>
                <a:srgbClr val="33CCCC"/>
              </a:solidFill>
              <a:ln>
                <a:noFill/>
              </a:ln>
              <a:effectLst/>
              <a:sp3d/>
            </c:spPr>
            <c:extLst>
              <c:ext xmlns:c16="http://schemas.microsoft.com/office/drawing/2014/chart" uri="{C3380CC4-5D6E-409C-BE32-E72D297353CC}">
                <c16:uniqueId val="{00000003-BDB5-4C66-84D0-AB7C6A748699}"/>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BDB5-4C66-84D0-AB7C6A748699}"/>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BDB5-4C66-84D0-AB7C6A748699}"/>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BDB5-4C66-84D0-AB7C6A748699}"/>
              </c:ext>
            </c:extLst>
          </c:dPt>
          <c:dLbls>
            <c:dLbl>
              <c:idx val="0"/>
              <c:layout>
                <c:manualLayout>
                  <c:x val="8.5907857421456141E-3"/>
                  <c:y val="-3.40367094997974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B5-4C66-84D0-AB7C6A748699}"/>
                </c:ext>
              </c:extLst>
            </c:dLbl>
            <c:dLbl>
              <c:idx val="1"/>
              <c:layout>
                <c:manualLayout>
                  <c:x val="5.4695815755026057E-2"/>
                  <c:y val="-7.7747562385897355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B5-4C66-84D0-AB7C6A748699}"/>
                </c:ext>
              </c:extLst>
            </c:dLbl>
            <c:dLbl>
              <c:idx val="2"/>
              <c:layout>
                <c:manualLayout>
                  <c:x val="1.5099145365594577E-2"/>
                  <c:y val="-6.60254415882501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DB5-4C66-84D0-AB7C6A748699}"/>
                </c:ext>
              </c:extLst>
            </c:dLbl>
            <c:dLbl>
              <c:idx val="3"/>
              <c:layout>
                <c:manualLayout>
                  <c:x val="4.7195107090272755E-2"/>
                  <c:y val="-0.1251750063105000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DB5-4C66-84D0-AB7C6A748699}"/>
                </c:ext>
              </c:extLst>
            </c:dLbl>
            <c:dLbl>
              <c:idx val="4"/>
              <c:layout>
                <c:manualLayout>
                  <c:x val="-1.3359804709901695E-3"/>
                  <c:y val="-0.1108986005365392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DB5-4C66-84D0-AB7C6A7486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Sayfa1!$C$102:$C$106</c:f>
              <c:numCache>
                <c:formatCode>General</c:formatCode>
                <c:ptCount val="5"/>
                <c:pt idx="0">
                  <c:v>0</c:v>
                </c:pt>
                <c:pt idx="1">
                  <c:v>0</c:v>
                </c:pt>
                <c:pt idx="2">
                  <c:v>4</c:v>
                </c:pt>
                <c:pt idx="3">
                  <c:v>4</c:v>
                </c:pt>
                <c:pt idx="4">
                  <c:v>14</c:v>
                </c:pt>
              </c:numCache>
            </c:numRef>
          </c:val>
          <c:extLst>
            <c:ext xmlns:c16="http://schemas.microsoft.com/office/drawing/2014/chart" uri="{C3380CC4-5D6E-409C-BE32-E72D297353CC}">
              <c16:uniqueId val="{0000000A-BDB5-4C66-84D0-AB7C6A74869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Konuşmacı / konuşmacılar alanında yetkindi.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D453-4F75-B623-7251C28C42AA}"/>
              </c:ext>
            </c:extLst>
          </c:dPt>
          <c:dPt>
            <c:idx val="1"/>
            <c:bubble3D val="0"/>
            <c:spPr>
              <a:solidFill>
                <a:srgbClr val="33CCCC"/>
              </a:solidFill>
              <a:ln>
                <a:noFill/>
              </a:ln>
              <a:effectLst/>
              <a:sp3d/>
            </c:spPr>
            <c:extLst>
              <c:ext xmlns:c16="http://schemas.microsoft.com/office/drawing/2014/chart" uri="{C3380CC4-5D6E-409C-BE32-E72D297353CC}">
                <c16:uniqueId val="{00000003-D453-4F75-B623-7251C28C42AA}"/>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D453-4F75-B623-7251C28C42AA}"/>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D453-4F75-B623-7251C28C42AA}"/>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D453-4F75-B623-7251C28C42AA}"/>
              </c:ext>
            </c:extLst>
          </c:dPt>
          <c:dLbls>
            <c:dLbl>
              <c:idx val="0"/>
              <c:layout>
                <c:manualLayout>
                  <c:x val="3.6411320499477439E-3"/>
                  <c:y val="-2.66350127202950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453-4F75-B623-7251C28C42AA}"/>
                </c:ext>
              </c:extLst>
            </c:dLbl>
            <c:dLbl>
              <c:idx val="1"/>
              <c:layout>
                <c:manualLayout>
                  <c:x val="2.4471492563040154E-2"/>
                  <c:y val="-1.566863126160492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53-4F75-B623-7251C28C42AA}"/>
                </c:ext>
              </c:extLst>
            </c:dLbl>
            <c:dLbl>
              <c:idx val="2"/>
              <c:layout>
                <c:manualLayout>
                  <c:x val="2.5802443276407915E-2"/>
                  <c:y val="2.298821531806512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53-4F75-B623-7251C28C42AA}"/>
                </c:ext>
              </c:extLst>
            </c:dLbl>
            <c:dLbl>
              <c:idx val="3"/>
              <c:layout>
                <c:manualLayout>
                  <c:x val="-5.0452850525507346E-3"/>
                  <c:y val="5.94850662870310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53-4F75-B623-7251C28C42AA}"/>
                </c:ext>
              </c:extLst>
            </c:dLbl>
            <c:dLbl>
              <c:idx val="4"/>
              <c:layout>
                <c:manualLayout>
                  <c:x val="-5.3545674519275901E-2"/>
                  <c:y val="3.192346454055333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453-4F75-B623-7251C28C42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dLblPos val="bestFit"/>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Sayfa1!$D$102:$D$106</c:f>
              <c:numCache>
                <c:formatCode>General</c:formatCode>
                <c:ptCount val="5"/>
                <c:pt idx="0">
                  <c:v>0</c:v>
                </c:pt>
                <c:pt idx="1">
                  <c:v>0</c:v>
                </c:pt>
                <c:pt idx="2">
                  <c:v>0</c:v>
                </c:pt>
                <c:pt idx="3">
                  <c:v>2</c:v>
                </c:pt>
                <c:pt idx="4">
                  <c:v>20</c:v>
                </c:pt>
              </c:numCache>
            </c:numRef>
          </c:val>
          <c:extLst>
            <c:ext xmlns:c16="http://schemas.microsoft.com/office/drawing/2014/chart" uri="{C3380CC4-5D6E-409C-BE32-E72D297353CC}">
              <c16:uniqueId val="{0000000A-D453-4F75-B623-7251C28C42AA}"/>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Sunum dili ve anlatım anlaşılırdı.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92966894056621"/>
          <c:y val="0.25469670103704506"/>
          <c:w val="0.71446156528561766"/>
          <c:h val="0.49830467873506362"/>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2E4C-4340-A4EC-0388C63E20E6}"/>
              </c:ext>
            </c:extLst>
          </c:dPt>
          <c:dPt>
            <c:idx val="1"/>
            <c:bubble3D val="0"/>
            <c:spPr>
              <a:solidFill>
                <a:srgbClr val="33CCCC"/>
              </a:solidFill>
              <a:ln>
                <a:noFill/>
              </a:ln>
              <a:effectLst/>
              <a:sp3d/>
            </c:spPr>
            <c:extLst>
              <c:ext xmlns:c16="http://schemas.microsoft.com/office/drawing/2014/chart" uri="{C3380CC4-5D6E-409C-BE32-E72D297353CC}">
                <c16:uniqueId val="{00000003-2E4C-4340-A4EC-0388C63E20E6}"/>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2E4C-4340-A4EC-0388C63E20E6}"/>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2E4C-4340-A4EC-0388C63E20E6}"/>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2E4C-4340-A4EC-0388C63E20E6}"/>
              </c:ext>
            </c:extLst>
          </c:dPt>
          <c:dLbls>
            <c:dLbl>
              <c:idx val="2"/>
              <c:layout>
                <c:manualLayout>
                  <c:x val="2.9754061548926077E-2"/>
                  <c:y val="-2.353926533654919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4C-4340-A4EC-0388C63E20E6}"/>
                </c:ext>
              </c:extLst>
            </c:dLbl>
            <c:dLbl>
              <c:idx val="3"/>
              <c:layout>
                <c:manualLayout>
                  <c:x val="9.1023170231876727E-2"/>
                  <c:y val="-9.655920409653645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4C-4340-A4EC-0388C63E20E6}"/>
                </c:ext>
              </c:extLst>
            </c:dLbl>
            <c:dLbl>
              <c:idx val="4"/>
              <c:layout>
                <c:manualLayout>
                  <c:x val="-3.9045699510782836E-2"/>
                  <c:y val="-0.21736628938831498"/>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4C-4340-A4EC-0388C63E20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Sayfa1!$E$102:$E$106</c:f>
              <c:numCache>
                <c:formatCode>General</c:formatCode>
                <c:ptCount val="5"/>
                <c:pt idx="0">
                  <c:v>0</c:v>
                </c:pt>
                <c:pt idx="1">
                  <c:v>0</c:v>
                </c:pt>
                <c:pt idx="2">
                  <c:v>4</c:v>
                </c:pt>
                <c:pt idx="3">
                  <c:v>14</c:v>
                </c:pt>
                <c:pt idx="4">
                  <c:v>4</c:v>
                </c:pt>
              </c:numCache>
            </c:numRef>
          </c:val>
          <c:extLst>
            <c:ext xmlns:c16="http://schemas.microsoft.com/office/drawing/2014/chart" uri="{C3380CC4-5D6E-409C-BE32-E72D297353CC}">
              <c16:uniqueId val="{0000000A-2E4C-4340-A4EC-0388C63E20E6}"/>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süresi ve akışı uygundu.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67775905414765"/>
          <c:y val="0.26865202039440905"/>
          <c:w val="0.75587411176371144"/>
          <c:h val="0.52156320508688137"/>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8ECF-44A3-8935-4F1C056945DF}"/>
              </c:ext>
            </c:extLst>
          </c:dPt>
          <c:dPt>
            <c:idx val="1"/>
            <c:bubble3D val="0"/>
            <c:spPr>
              <a:solidFill>
                <a:srgbClr val="33CCCC"/>
              </a:solidFill>
              <a:ln>
                <a:noFill/>
              </a:ln>
              <a:effectLst/>
              <a:sp3d/>
            </c:spPr>
            <c:extLst>
              <c:ext xmlns:c16="http://schemas.microsoft.com/office/drawing/2014/chart" uri="{C3380CC4-5D6E-409C-BE32-E72D297353CC}">
                <c16:uniqueId val="{00000003-8ECF-44A3-8935-4F1C056945DF}"/>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8ECF-44A3-8935-4F1C056945DF}"/>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8ECF-44A3-8935-4F1C056945DF}"/>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8ECF-44A3-8935-4F1C056945DF}"/>
              </c:ext>
            </c:extLst>
          </c:dPt>
          <c:dLbls>
            <c:dLbl>
              <c:idx val="2"/>
              <c:layout>
                <c:manualLayout>
                  <c:x val="2.7727521660677389E-2"/>
                  <c:y val="-3.325511588690602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ECF-44A3-8935-4F1C056945DF}"/>
                </c:ext>
              </c:extLst>
            </c:dLbl>
            <c:dLbl>
              <c:idx val="3"/>
              <c:layout>
                <c:manualLayout>
                  <c:x val="0.12276765746128789"/>
                  <c:y val="-9.943090396951434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ECF-44A3-8935-4F1C056945DF}"/>
                </c:ext>
              </c:extLst>
            </c:dLbl>
            <c:dLbl>
              <c:idx val="4"/>
              <c:layout>
                <c:manualLayout>
                  <c:x val="-1.7005840909933911E-2"/>
                  <c:y val="-3.597906223578135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ECF-44A3-8935-4F1C056945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Sayfa1!$F$102:$F$106</c:f>
              <c:numCache>
                <c:formatCode>General</c:formatCode>
                <c:ptCount val="5"/>
                <c:pt idx="0">
                  <c:v>0</c:v>
                </c:pt>
                <c:pt idx="1">
                  <c:v>1</c:v>
                </c:pt>
                <c:pt idx="2">
                  <c:v>1</c:v>
                </c:pt>
                <c:pt idx="3">
                  <c:v>6</c:v>
                </c:pt>
                <c:pt idx="4">
                  <c:v>14</c:v>
                </c:pt>
              </c:numCache>
            </c:numRef>
          </c:val>
          <c:extLst>
            <c:ext xmlns:c16="http://schemas.microsoft.com/office/drawing/2014/chart" uri="{C3380CC4-5D6E-409C-BE32-E72D297353CC}">
              <c16:uniqueId val="{0000000A-8ECF-44A3-8935-4F1C056945DF}"/>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kariyer planlamama katkı sağladı.</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46548830721619"/>
          <c:y val="0.29122780108899282"/>
          <c:w val="0.72553320401891763"/>
          <c:h val="0.49942592328845165"/>
        </c:manualLayout>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BBE4-4E8D-A4F1-F1FB6F278C69}"/>
              </c:ext>
            </c:extLst>
          </c:dPt>
          <c:dPt>
            <c:idx val="1"/>
            <c:bubble3D val="0"/>
            <c:spPr>
              <a:solidFill>
                <a:srgbClr val="33CCCC"/>
              </a:solidFill>
              <a:ln>
                <a:noFill/>
              </a:ln>
              <a:effectLst/>
              <a:sp3d/>
            </c:spPr>
            <c:extLst>
              <c:ext xmlns:c16="http://schemas.microsoft.com/office/drawing/2014/chart" uri="{C3380CC4-5D6E-409C-BE32-E72D297353CC}">
                <c16:uniqueId val="{00000003-BBE4-4E8D-A4F1-F1FB6F278C69}"/>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BBE4-4E8D-A4F1-F1FB6F278C69}"/>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BBE4-4E8D-A4F1-F1FB6F278C69}"/>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BBE4-4E8D-A4F1-F1FB6F278C69}"/>
              </c:ext>
            </c:extLst>
          </c:dPt>
          <c:dLbls>
            <c:dLbl>
              <c:idx val="0"/>
              <c:layout>
                <c:manualLayout>
                  <c:x val="-3.7617608849160475E-2"/>
                  <c:y val="-4.53840922676199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E4-4E8D-A4F1-F1FB6F278C69}"/>
                </c:ext>
              </c:extLst>
            </c:dLbl>
            <c:dLbl>
              <c:idx val="1"/>
              <c:layout>
                <c:manualLayout>
                  <c:x val="1.9444852004209361E-2"/>
                  <c:y val="-3.415890117442542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BE4-4E8D-A4F1-F1FB6F278C69}"/>
                </c:ext>
              </c:extLst>
            </c:dLbl>
            <c:dLbl>
              <c:idx val="2"/>
              <c:layout>
                <c:manualLayout>
                  <c:x val="4.8015106429781546E-2"/>
                  <c:y val="-6.810952737101390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BE4-4E8D-A4F1-F1FB6F278C69}"/>
                </c:ext>
              </c:extLst>
            </c:dLbl>
            <c:dLbl>
              <c:idx val="3"/>
              <c:layout>
                <c:manualLayout>
                  <c:x val="0.12743602952830449"/>
                  <c:y val="-7.9250614357040339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BE4-4E8D-A4F1-F1FB6F278C69}"/>
                </c:ext>
              </c:extLst>
            </c:dLbl>
            <c:dLbl>
              <c:idx val="4"/>
              <c:layout>
                <c:manualLayout>
                  <c:x val="-3.5262107195654778E-2"/>
                  <c:y val="-8.8723696711204544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BE4-4E8D-A4F1-F1FB6F278C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Sayfa1!$G$102:$G$106</c:f>
              <c:numCache>
                <c:formatCode>General</c:formatCode>
                <c:ptCount val="5"/>
                <c:pt idx="0">
                  <c:v>0</c:v>
                </c:pt>
                <c:pt idx="1">
                  <c:v>2</c:v>
                </c:pt>
                <c:pt idx="2">
                  <c:v>7</c:v>
                </c:pt>
                <c:pt idx="3">
                  <c:v>0</c:v>
                </c:pt>
                <c:pt idx="4">
                  <c:v>13</c:v>
                </c:pt>
              </c:numCache>
            </c:numRef>
          </c:val>
          <c:extLst>
            <c:ext xmlns:c16="http://schemas.microsoft.com/office/drawing/2014/chart" uri="{C3380CC4-5D6E-409C-BE32-E72D297353CC}">
              <c16:uniqueId val="{0000000A-BBE4-4E8D-A4F1-F1FB6F278C69}"/>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Etkinlik sonunda yeni bilgiler veya bakış açıları kazandım.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bg2">
                  <a:lumMod val="75000"/>
                </a:schemeClr>
              </a:solidFill>
              <a:ln>
                <a:noFill/>
              </a:ln>
              <a:effectLst/>
              <a:sp3d/>
            </c:spPr>
            <c:extLst>
              <c:ext xmlns:c16="http://schemas.microsoft.com/office/drawing/2014/chart" uri="{C3380CC4-5D6E-409C-BE32-E72D297353CC}">
                <c16:uniqueId val="{00000001-E4A2-4AC0-975F-020A788873EF}"/>
              </c:ext>
            </c:extLst>
          </c:dPt>
          <c:dPt>
            <c:idx val="1"/>
            <c:bubble3D val="0"/>
            <c:spPr>
              <a:solidFill>
                <a:srgbClr val="33CCCC"/>
              </a:solidFill>
              <a:ln>
                <a:noFill/>
              </a:ln>
              <a:effectLst/>
              <a:sp3d/>
            </c:spPr>
            <c:extLst>
              <c:ext xmlns:c16="http://schemas.microsoft.com/office/drawing/2014/chart" uri="{C3380CC4-5D6E-409C-BE32-E72D297353CC}">
                <c16:uniqueId val="{00000003-E4A2-4AC0-975F-020A788873EF}"/>
              </c:ext>
            </c:extLst>
          </c:dPt>
          <c:dPt>
            <c:idx val="2"/>
            <c:bubble3D val="0"/>
            <c:spPr>
              <a:solidFill>
                <a:schemeClr val="accent4">
                  <a:lumMod val="60000"/>
                  <a:lumOff val="40000"/>
                </a:schemeClr>
              </a:solidFill>
              <a:ln>
                <a:noFill/>
              </a:ln>
              <a:effectLst/>
              <a:sp3d/>
            </c:spPr>
            <c:extLst>
              <c:ext xmlns:c16="http://schemas.microsoft.com/office/drawing/2014/chart" uri="{C3380CC4-5D6E-409C-BE32-E72D297353CC}">
                <c16:uniqueId val="{00000005-E4A2-4AC0-975F-020A788873EF}"/>
              </c:ext>
            </c:extLst>
          </c:dPt>
          <c:dPt>
            <c:idx val="3"/>
            <c:bubble3D val="0"/>
            <c:spPr>
              <a:solidFill>
                <a:schemeClr val="accent6">
                  <a:lumMod val="60000"/>
                  <a:lumOff val="40000"/>
                </a:schemeClr>
              </a:solidFill>
              <a:ln>
                <a:noFill/>
              </a:ln>
              <a:effectLst/>
              <a:sp3d/>
            </c:spPr>
            <c:extLst>
              <c:ext xmlns:c16="http://schemas.microsoft.com/office/drawing/2014/chart" uri="{C3380CC4-5D6E-409C-BE32-E72D297353CC}">
                <c16:uniqueId val="{00000007-E4A2-4AC0-975F-020A788873EF}"/>
              </c:ext>
            </c:extLst>
          </c:dPt>
          <c:dPt>
            <c:idx val="4"/>
            <c:bubble3D val="0"/>
            <c:spPr>
              <a:solidFill>
                <a:schemeClr val="accent1">
                  <a:lumMod val="75000"/>
                </a:schemeClr>
              </a:solidFill>
              <a:ln>
                <a:noFill/>
              </a:ln>
              <a:effectLst/>
              <a:sp3d/>
            </c:spPr>
            <c:extLst>
              <c:ext xmlns:c16="http://schemas.microsoft.com/office/drawing/2014/chart" uri="{C3380CC4-5D6E-409C-BE32-E72D297353CC}">
                <c16:uniqueId val="{00000009-E4A2-4AC0-975F-020A788873EF}"/>
              </c:ext>
            </c:extLst>
          </c:dPt>
          <c:dLbls>
            <c:dLbl>
              <c:idx val="0"/>
              <c:layout>
                <c:manualLayout>
                  <c:x val="-2.4416596666914474E-2"/>
                  <c:y val="-4.95385193590586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4A2-4AC0-975F-020A788873EF}"/>
                </c:ext>
              </c:extLst>
            </c:dLbl>
            <c:dLbl>
              <c:idx val="1"/>
              <c:layout>
                <c:manualLayout>
                  <c:x val="3.8682702405382609E-2"/>
                  <c:y val="-3.5415838507072181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4A2-4AC0-975F-020A788873EF}"/>
                </c:ext>
              </c:extLst>
            </c:dLbl>
            <c:dLbl>
              <c:idx val="2"/>
              <c:layout>
                <c:manualLayout>
                  <c:x val="-1.9404083915986344E-3"/>
                  <c:y val="-5.146719765248371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4A2-4AC0-975F-020A788873EF}"/>
                </c:ext>
              </c:extLst>
            </c:dLbl>
            <c:dLbl>
              <c:idx val="3"/>
              <c:layout>
                <c:manualLayout>
                  <c:x val="9.5893737869041124E-2"/>
                  <c:y val="-0.10688028968119168"/>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4A2-4AC0-975F-020A788873EF}"/>
                </c:ext>
              </c:extLst>
            </c:dLbl>
            <c:dLbl>
              <c:idx val="4"/>
              <c:layout>
                <c:manualLayout>
                  <c:x val="-2.0301308873643127E-2"/>
                  <c:y val="-0.1358870763737812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4A2-4AC0-975F-020A788873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Sayfa1!$H$102:$H$106</c:f>
              <c:numCache>
                <c:formatCode>General</c:formatCode>
                <c:ptCount val="5"/>
                <c:pt idx="0">
                  <c:v>0</c:v>
                </c:pt>
                <c:pt idx="1">
                  <c:v>1</c:v>
                </c:pt>
                <c:pt idx="2">
                  <c:v>1</c:v>
                </c:pt>
                <c:pt idx="3">
                  <c:v>10</c:v>
                </c:pt>
                <c:pt idx="4">
                  <c:v>10</c:v>
                </c:pt>
              </c:numCache>
            </c:numRef>
          </c:val>
          <c:extLst>
            <c:ext xmlns:c16="http://schemas.microsoft.com/office/drawing/2014/chart" uri="{C3380CC4-5D6E-409C-BE32-E72D297353CC}">
              <c16:uniqueId val="{0000000A-E4A2-4AC0-975F-020A788873EF}"/>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tr-TR"/>
              <a:t>Bu etkinliği diğer öğrencilere tavsiye eder misiniz?</a:t>
            </a:r>
          </a:p>
        </c:rich>
      </c:tx>
      <c:layout>
        <c:manualLayout>
          <c:xMode val="edge"/>
          <c:yMode val="edge"/>
          <c:x val="0.10513564646792317"/>
          <c:y val="2.791045213467342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1-5DAA-4CCE-AB78-24BEC79C7C0F}"/>
              </c:ext>
            </c:extLst>
          </c:dPt>
          <c:dPt>
            <c:idx val="1"/>
            <c:bubble3D val="0"/>
            <c:spPr>
              <a:solidFill>
                <a:schemeClr val="accent6">
                  <a:lumMod val="60000"/>
                  <a:lumOff val="40000"/>
                </a:schemeClr>
              </a:solidFill>
              <a:ln>
                <a:noFill/>
              </a:ln>
              <a:effectLst/>
              <a:sp3d/>
            </c:spPr>
            <c:extLst>
              <c:ext xmlns:c16="http://schemas.microsoft.com/office/drawing/2014/chart" uri="{C3380CC4-5D6E-409C-BE32-E72D297353CC}">
                <c16:uniqueId val="{00000003-5DAA-4CCE-AB78-24BEC79C7C0F}"/>
              </c:ext>
            </c:extLst>
          </c:dPt>
          <c:dPt>
            <c:idx val="2"/>
            <c:bubble3D val="0"/>
            <c:spPr>
              <a:solidFill>
                <a:schemeClr val="accent1">
                  <a:lumMod val="75000"/>
                </a:schemeClr>
              </a:solidFill>
              <a:ln>
                <a:noFill/>
              </a:ln>
              <a:effectLst/>
              <a:sp3d/>
            </c:spPr>
            <c:extLst>
              <c:ext xmlns:c16="http://schemas.microsoft.com/office/drawing/2014/chart" uri="{C3380CC4-5D6E-409C-BE32-E72D297353CC}">
                <c16:uniqueId val="{00000005-5DAA-4CCE-AB78-24BEC79C7C0F}"/>
              </c:ext>
            </c:extLst>
          </c:dPt>
          <c:dLbls>
            <c:dLbl>
              <c:idx val="0"/>
              <c:layout>
                <c:manualLayout>
                  <c:x val="9.8601607482646913E-3"/>
                  <c:y val="-1.372194293726074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AA-4CCE-AB78-24BEC79C7C0F}"/>
                </c:ext>
              </c:extLst>
            </c:dLbl>
            <c:dLbl>
              <c:idx val="1"/>
              <c:layout>
                <c:manualLayout>
                  <c:x val="2.2025156708502875E-2"/>
                  <c:y val="-0.1299512383987587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AA-4CCE-AB78-24BEC79C7C0F}"/>
                </c:ext>
              </c:extLst>
            </c:dLbl>
            <c:dLbl>
              <c:idx val="2"/>
              <c:layout>
                <c:manualLayout>
                  <c:x val="1.1364352914814155E-3"/>
                  <c:y val="-0.1746298094790588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AA-4CCE-AB78-24BEC79C7C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tr-TR"/>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val>
            <c:numRef>
              <c:f>Sayfa1!$I$102:$I$104</c:f>
              <c:numCache>
                <c:formatCode>General</c:formatCode>
                <c:ptCount val="3"/>
                <c:pt idx="0">
                  <c:v>1</c:v>
                </c:pt>
                <c:pt idx="1">
                  <c:v>3</c:v>
                </c:pt>
                <c:pt idx="2">
                  <c:v>18</c:v>
                </c:pt>
              </c:numCache>
            </c:numRef>
          </c:val>
          <c:extLst>
            <c:ext xmlns:c16="http://schemas.microsoft.com/office/drawing/2014/chart" uri="{C3380CC4-5D6E-409C-BE32-E72D297353CC}">
              <c16:uniqueId val="{00000006-5DAA-4CCE-AB78-24BEC79C7C0F}"/>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724</Words>
  <Characters>4129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YAVUZ</dc:creator>
  <cp:keywords/>
  <dc:description/>
  <cp:lastModifiedBy>Çiğdem YAVUZ</cp:lastModifiedBy>
  <cp:revision>3</cp:revision>
  <dcterms:created xsi:type="dcterms:W3CDTF">2026-06-12T07:33:00Z</dcterms:created>
  <dcterms:modified xsi:type="dcterms:W3CDTF">2026-06-12T07:37:00Z</dcterms:modified>
</cp:coreProperties>
</file>